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p>
    <w:p w14:paraId="507776DB" w14:textId="77777777" w:rsidR="007D1E76" w:rsidRPr="00E74967" w:rsidRDefault="00000000" w:rsidP="00F067C8">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Los Estados Financieros de los entes públicos, proveen de información financiera a los principales usuarios de </w:t>
      </w:r>
      <w:proofErr w:type="gramStart"/>
      <w:r w:rsidRPr="00E74967">
        <w:rPr>
          <w:rFonts w:cs="Calibri"/>
        </w:rPr>
        <w:t>la misma</w:t>
      </w:r>
      <w:proofErr w:type="gramEnd"/>
      <w:r w:rsidRPr="00E74967">
        <w:rPr>
          <w:rFonts w:cs="Calibri"/>
        </w:rPr>
        <w:t>,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08E5784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w:t>
      </w:r>
      <w:r w:rsidR="00967DDA">
        <w:rPr>
          <w:rFonts w:cs="Calibri"/>
        </w:rPr>
        <w:t>-</w:t>
      </w:r>
      <w:r w:rsidRPr="00E74967">
        <w:rPr>
          <w:rFonts w:cs="Calibri"/>
        </w:rPr>
        <w:t xml:space="preserve">financieros más relevantes que influyeron en las decisiones del período, y que deberán ser considerados en la elaboración de los estados financieros para la mayor comprensión de </w:t>
      </w:r>
      <w:proofErr w:type="gramStart"/>
      <w:r w:rsidRPr="00E74967">
        <w:rPr>
          <w:rFonts w:cs="Calibri"/>
        </w:rPr>
        <w:t>los m</w:t>
      </w:r>
      <w:r w:rsidR="00E00323" w:rsidRPr="00E74967">
        <w:rPr>
          <w:rFonts w:cs="Calibri"/>
        </w:rPr>
        <w:t>ismos</w:t>
      </w:r>
      <w:proofErr w:type="gramEnd"/>
      <w:r w:rsidR="00E00323" w:rsidRPr="00E74967">
        <w:rPr>
          <w:rFonts w:cs="Calibri"/>
        </w:rPr>
        <w:t xml:space="preserve">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7AD61893"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De esta manera, </w:t>
      </w:r>
      <w:r w:rsidR="00295B72" w:rsidRPr="00295B72">
        <w:rPr>
          <w:rFonts w:cs="Calibri"/>
        </w:rPr>
        <w:t>se informan y explican las condiciones relacionadas con la información financiera de cada período de gestión; además, de exponer aquellas políticas que podrían afectar la toma de decisiones en períodos posteriores.</w:t>
      </w:r>
      <w:r w:rsidR="00C93C67">
        <w:rPr>
          <w:rFonts w:cs="Calibri"/>
        </w:rPr>
        <w:t xml:space="preserve"> (</w:t>
      </w:r>
      <w:r w:rsidR="00C93C67" w:rsidRPr="00C93C67">
        <w:rPr>
          <w:rFonts w:cs="Calibri"/>
          <w:color w:val="2F5496" w:themeColor="accent5" w:themeShade="BF"/>
        </w:rPr>
        <w:t>DOF 06-12-2022</w:t>
      </w:r>
      <w:r w:rsidR="00C93C67">
        <w:rPr>
          <w:rFonts w:cs="Calibri"/>
        </w:rPr>
        <w:t>)</w:t>
      </w:r>
    </w:p>
    <w:p w14:paraId="009160FA" w14:textId="7F828C13" w:rsidR="007D1E76" w:rsidRPr="00E74967" w:rsidRDefault="007D1E76" w:rsidP="00CB41C4">
      <w:pPr>
        <w:pStyle w:val="Prrafodelista"/>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09BF8276" w:rsidR="007D1E76" w:rsidRPr="000C3365" w:rsidRDefault="007E38A2" w:rsidP="000C3365">
      <w:pPr>
        <w:pStyle w:val="Ttulo2"/>
        <w:rPr>
          <w:rFonts w:asciiTheme="minorHAnsi" w:hAnsiTheme="minorHAnsi" w:cstheme="minorHAnsi"/>
          <w:b/>
          <w:color w:val="auto"/>
          <w:sz w:val="22"/>
        </w:rPr>
      </w:pPr>
      <w:bookmarkStart w:id="0" w:name="_Toc161472866"/>
      <w:r>
        <w:rPr>
          <w:rFonts w:asciiTheme="minorHAnsi" w:hAnsiTheme="minorHAnsi" w:cstheme="minorHAnsi"/>
          <w:b/>
          <w:color w:val="auto"/>
          <w:sz w:val="22"/>
        </w:rPr>
        <w:t>1</w:t>
      </w:r>
      <w:r w:rsidR="007D1E76" w:rsidRPr="000C3365">
        <w:rPr>
          <w:rFonts w:asciiTheme="minorHAnsi" w:hAnsiTheme="minorHAnsi" w:cstheme="minorHAnsi"/>
          <w:b/>
          <w:color w:val="auto"/>
          <w:sz w:val="22"/>
        </w:rPr>
        <w:t>. Autoriza</w:t>
      </w:r>
      <w:r w:rsidR="00E00323" w:rsidRPr="000C3365">
        <w:rPr>
          <w:rFonts w:asciiTheme="minorHAnsi" w:hAnsiTheme="minorHAnsi" w:cstheme="minorHAnsi"/>
          <w:b/>
          <w:color w:val="auto"/>
          <w:sz w:val="22"/>
        </w:rPr>
        <w:t>ción e Historia:</w:t>
      </w:r>
      <w:bookmarkEnd w:id="0"/>
    </w:p>
    <w:p w14:paraId="360DA23B" w14:textId="77777777" w:rsidR="007D1E76" w:rsidRPr="00E74967" w:rsidRDefault="007D1E76" w:rsidP="00CB41C4">
      <w:pPr>
        <w:tabs>
          <w:tab w:val="left" w:leader="underscore" w:pos="9639"/>
        </w:tabs>
        <w:spacing w:after="0" w:line="240" w:lineRule="auto"/>
        <w:jc w:val="both"/>
        <w:rPr>
          <w:rFonts w:cs="Calibri"/>
        </w:rPr>
      </w:pPr>
    </w:p>
    <w:p w14:paraId="4815926C"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sz w:val="20"/>
          <w:szCs w:val="20"/>
        </w:rPr>
        <w:t>Conforme al Decreto Gubernativo Núm.83 publicado en el DOF del 21 de octubre del 2008 se crea el Instituto de Infraestructura Física Educativa de Guanajuato, como un organismo público descentralizado de la administración pública estatal con personalidad jurídica y patrimonio propios, el cual se identificará como INIFEG y estará sectorizado a la Secretaría de Educación de Guanajuato.</w:t>
      </w:r>
    </w:p>
    <w:p w14:paraId="7E9F1D09"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sz w:val="20"/>
          <w:szCs w:val="20"/>
        </w:rPr>
        <w:t>Este instituto tiene por objeto llevar a cabo la construcción, reconstrucción, reforzamiento, rehabilitación, habilitación, adecuación mantenimiento y equipamiento de la infraestructura física educativa del estado de Guanajuato, así como su promoción, de conformidad con la normatividad aplicable.</w:t>
      </w:r>
    </w:p>
    <w:p w14:paraId="3929E060" w14:textId="77777777" w:rsidR="00065CDB" w:rsidRPr="004E151F" w:rsidRDefault="00065CDB" w:rsidP="00065CDB">
      <w:pPr>
        <w:tabs>
          <w:tab w:val="left" w:leader="underscore" w:pos="9639"/>
        </w:tabs>
        <w:jc w:val="both"/>
        <w:rPr>
          <w:rFonts w:ascii="Arial" w:hAnsi="Arial" w:cs="Arial"/>
          <w:i/>
          <w:iCs/>
          <w:sz w:val="20"/>
          <w:szCs w:val="20"/>
        </w:rPr>
      </w:pPr>
      <w:r w:rsidRPr="00FA379D">
        <w:rPr>
          <w:rFonts w:ascii="Arial" w:hAnsi="Arial" w:cs="Arial"/>
          <w:i/>
          <w:iCs/>
          <w:sz w:val="20"/>
          <w:szCs w:val="20"/>
        </w:rPr>
        <w:t>Con fecha 04 de junio de 2019 se publica en el Periódico Oficial el nuevo Reglamento Interior del Instituto de Infraestructura Física Educativa de Guanajuato, Decreto Gubernativo número 24.</w:t>
      </w:r>
    </w:p>
    <w:p w14:paraId="16919154" w14:textId="77777777" w:rsidR="00065CDB" w:rsidRPr="00FA379D" w:rsidRDefault="00065CDB" w:rsidP="00065CDB">
      <w:pPr>
        <w:tabs>
          <w:tab w:val="left" w:leader="underscore" w:pos="9639"/>
        </w:tabs>
        <w:jc w:val="both"/>
        <w:rPr>
          <w:rFonts w:ascii="Arial" w:hAnsi="Arial" w:cs="Arial"/>
          <w:i/>
          <w:iCs/>
          <w:sz w:val="20"/>
          <w:szCs w:val="20"/>
        </w:rPr>
      </w:pPr>
      <w:r w:rsidRPr="00FA379D">
        <w:rPr>
          <w:rFonts w:ascii="Arial" w:hAnsi="Arial" w:cs="Arial"/>
          <w:i/>
          <w:iCs/>
          <w:sz w:val="20"/>
          <w:szCs w:val="20"/>
        </w:rPr>
        <w:t>De conformidad con lo dispuesto en el Decreto número 6, emitido por la Sexagésima Quinta Legislatura Constitucional del Congreso del Estado Libre y Soberano de Guanajuato, publicado en el Periódico Oficial del Gobierno del Estado de Guanajuato número 233, Segunda Parte, de fecha 23 de noviembre de 2021, la Secretaría de Infraestructura Conectividad y Movilidad SICOM, sustituye en todas sus obligaciones y asume los compromisos adquiridos por el Instituto de Infraestructura Física Educativa de Guanajuato INIFEG, en virtud de la adición de atribuciones en materia de infraestructura física educativa.</w:t>
      </w:r>
    </w:p>
    <w:p w14:paraId="6980FDCF" w14:textId="77777777" w:rsidR="00065CDB" w:rsidRPr="00FA379D" w:rsidRDefault="00065CDB" w:rsidP="00065CDB">
      <w:pPr>
        <w:tabs>
          <w:tab w:val="left" w:leader="underscore" w:pos="9639"/>
        </w:tabs>
        <w:jc w:val="both"/>
        <w:rPr>
          <w:rFonts w:ascii="Arial" w:hAnsi="Arial" w:cs="Arial"/>
          <w:i/>
          <w:iCs/>
          <w:sz w:val="20"/>
          <w:szCs w:val="20"/>
        </w:rPr>
      </w:pPr>
      <w:bookmarkStart w:id="1" w:name="_Hlk125633832"/>
      <w:r w:rsidRPr="00FA379D">
        <w:rPr>
          <w:rFonts w:ascii="Arial" w:hAnsi="Arial" w:cs="Arial"/>
          <w:i/>
          <w:iCs/>
          <w:sz w:val="20"/>
          <w:szCs w:val="20"/>
        </w:rPr>
        <w:t>Así mismo, en la página 109 en el DECRETO Gubernativo Número 121 mediante el cual se expide el Reglamento Interior de la Secretaría de Infraestructura, Conectividad y Movilidad, con fecha 30 de junio de 2022 a través del Periódico Oficial del GOBIERNO DEL ESTADODE GUANAJUATO - PODER EJECUTIVO, señala textualmente lo siguiente;</w:t>
      </w:r>
    </w:p>
    <w:p w14:paraId="1495D42E" w14:textId="77777777" w:rsidR="00065CDB" w:rsidRPr="00FA379D" w:rsidRDefault="00065CDB" w:rsidP="00065CDB">
      <w:pPr>
        <w:tabs>
          <w:tab w:val="left" w:leader="underscore" w:pos="9639"/>
        </w:tabs>
        <w:jc w:val="both"/>
        <w:rPr>
          <w:rFonts w:ascii="Arial" w:hAnsi="Arial" w:cs="Arial"/>
          <w:bCs/>
          <w:sz w:val="20"/>
          <w:szCs w:val="20"/>
        </w:rPr>
      </w:pPr>
      <w:r w:rsidRPr="00FA379D">
        <w:rPr>
          <w:rFonts w:ascii="Arial" w:hAnsi="Arial" w:cs="Arial"/>
          <w:noProof/>
          <w:sz w:val="20"/>
          <w:szCs w:val="20"/>
        </w:rPr>
        <w:lastRenderedPageBreak/>
        <w:drawing>
          <wp:inline distT="0" distB="0" distL="0" distR="0" wp14:anchorId="4E230103" wp14:editId="2FEAB4A5">
            <wp:extent cx="5838499" cy="1562100"/>
            <wp:effectExtent l="0" t="0" r="0" b="0"/>
            <wp:docPr id="69333904" name="Imagen 38"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33904" name="Imagen 38" descr="Interfaz de usuario gráfica, Texto, Aplicación&#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l="23839" t="34987" r="23839" b="30853"/>
                    <a:stretch>
                      <a:fillRect/>
                    </a:stretch>
                  </pic:blipFill>
                  <pic:spPr bwMode="auto">
                    <a:xfrm>
                      <a:off x="0" y="0"/>
                      <a:ext cx="5848814" cy="1564860"/>
                    </a:xfrm>
                    <a:prstGeom prst="rect">
                      <a:avLst/>
                    </a:prstGeom>
                    <a:noFill/>
                    <a:ln>
                      <a:noFill/>
                    </a:ln>
                  </pic:spPr>
                </pic:pic>
              </a:graphicData>
            </a:graphic>
          </wp:inline>
        </w:drawing>
      </w:r>
    </w:p>
    <w:p w14:paraId="52F9A45A" w14:textId="77777777" w:rsidR="00065CDB" w:rsidRPr="004E151F" w:rsidRDefault="00065CDB" w:rsidP="00065CDB">
      <w:pPr>
        <w:tabs>
          <w:tab w:val="left" w:leader="underscore" w:pos="9639"/>
        </w:tabs>
        <w:jc w:val="both"/>
        <w:rPr>
          <w:rFonts w:ascii="Arial" w:hAnsi="Arial" w:cs="Arial"/>
          <w:sz w:val="20"/>
          <w:szCs w:val="20"/>
        </w:rPr>
      </w:pPr>
      <w:r w:rsidRPr="00FA379D">
        <w:rPr>
          <w:rFonts w:ascii="Arial" w:hAnsi="Arial" w:cs="Arial"/>
          <w:bCs/>
          <w:sz w:val="20"/>
          <w:szCs w:val="20"/>
        </w:rPr>
        <w:t>Por lo tanto, al</w:t>
      </w:r>
      <w:r>
        <w:rPr>
          <w:rFonts w:ascii="Arial" w:hAnsi="Arial" w:cs="Arial"/>
          <w:bCs/>
          <w:sz w:val="20"/>
          <w:szCs w:val="20"/>
        </w:rPr>
        <w:t xml:space="preserve"> 4to</w:t>
      </w:r>
      <w:r w:rsidRPr="00FA379D">
        <w:rPr>
          <w:rFonts w:ascii="Arial" w:hAnsi="Arial" w:cs="Arial"/>
          <w:bCs/>
          <w:sz w:val="20"/>
          <w:szCs w:val="20"/>
        </w:rPr>
        <w:t>. trimestre 202</w:t>
      </w:r>
      <w:r>
        <w:rPr>
          <w:rFonts w:ascii="Arial" w:hAnsi="Arial" w:cs="Arial"/>
          <w:bCs/>
          <w:sz w:val="20"/>
          <w:szCs w:val="20"/>
        </w:rPr>
        <w:t>3</w:t>
      </w:r>
      <w:r w:rsidRPr="00FA379D">
        <w:rPr>
          <w:rFonts w:ascii="Arial" w:hAnsi="Arial" w:cs="Arial"/>
          <w:bCs/>
          <w:sz w:val="20"/>
          <w:szCs w:val="20"/>
        </w:rPr>
        <w:t xml:space="preserve"> (</w:t>
      </w:r>
      <w:r>
        <w:rPr>
          <w:rFonts w:ascii="Arial" w:hAnsi="Arial" w:cs="Arial"/>
          <w:bCs/>
          <w:sz w:val="20"/>
          <w:szCs w:val="20"/>
        </w:rPr>
        <w:t>31 de Diciembre de 2023</w:t>
      </w:r>
      <w:r w:rsidRPr="00FA379D">
        <w:rPr>
          <w:rFonts w:ascii="Arial" w:hAnsi="Arial" w:cs="Arial"/>
          <w:bCs/>
          <w:sz w:val="20"/>
          <w:szCs w:val="20"/>
        </w:rPr>
        <w:t xml:space="preserve">), el Instituto de Infraestructura </w:t>
      </w:r>
      <w:proofErr w:type="spellStart"/>
      <w:r w:rsidRPr="00FA379D">
        <w:rPr>
          <w:rFonts w:ascii="Arial" w:hAnsi="Arial" w:cs="Arial"/>
          <w:bCs/>
          <w:sz w:val="20"/>
          <w:szCs w:val="20"/>
        </w:rPr>
        <w:t>Fisicia</w:t>
      </w:r>
      <w:proofErr w:type="spellEnd"/>
      <w:r w:rsidRPr="00FA379D">
        <w:rPr>
          <w:rFonts w:ascii="Arial" w:hAnsi="Arial" w:cs="Arial"/>
          <w:bCs/>
          <w:sz w:val="20"/>
          <w:szCs w:val="20"/>
        </w:rPr>
        <w:t xml:space="preserve"> Educativa de Guanajuato se encuentra en Proceso de Extinción y está </w:t>
      </w:r>
      <w:r w:rsidRPr="00FA379D">
        <w:rPr>
          <w:rFonts w:ascii="Arial" w:hAnsi="Arial" w:cs="Arial"/>
          <w:b/>
          <w:sz w:val="20"/>
          <w:szCs w:val="20"/>
        </w:rPr>
        <w:t>ACTIVO</w:t>
      </w:r>
      <w:r w:rsidRPr="00FA379D">
        <w:rPr>
          <w:rFonts w:ascii="Arial" w:hAnsi="Arial" w:cs="Arial"/>
          <w:bCs/>
          <w:sz w:val="20"/>
          <w:szCs w:val="20"/>
        </w:rPr>
        <w:t xml:space="preserve">, cumpliendo con los procesos, obligaciones y/o actividades señaladas por las autoridades competentes, para una vez finalizado este proceso, el INIFEG, entre en Liquidación, y de pie a trámites de carácter Fiscal, Jurídico, Contable y  presupuestal y en lo subsecuente concluya mediante la Publicación en el </w:t>
      </w:r>
      <w:r w:rsidRPr="00FA379D">
        <w:rPr>
          <w:rFonts w:ascii="Arial" w:hAnsi="Arial" w:cs="Arial"/>
          <w:i/>
          <w:iCs/>
          <w:sz w:val="20"/>
          <w:szCs w:val="20"/>
        </w:rPr>
        <w:t>Periódico Oficial del GOBIERNO DEL ESTADODE GUANAJUATO, que el INIFEG ha sido LIQUIDADO.</w:t>
      </w:r>
    </w:p>
    <w:bookmarkEnd w:id="1"/>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07BCAD09" w14:textId="771E95ED" w:rsidR="00065CDB" w:rsidRPr="00065CDB" w:rsidRDefault="00065CDB" w:rsidP="00065CDB">
      <w:pPr>
        <w:tabs>
          <w:tab w:val="left" w:leader="underscore" w:pos="9639"/>
        </w:tabs>
        <w:spacing w:after="0" w:line="240" w:lineRule="auto"/>
        <w:jc w:val="both"/>
        <w:rPr>
          <w:rFonts w:cs="Calibri"/>
        </w:rPr>
      </w:pPr>
      <w:bookmarkStart w:id="2" w:name="_Hlk125634275"/>
      <w:bookmarkStart w:id="3" w:name="_Hlk125634283"/>
      <w:r w:rsidRPr="00FA379D">
        <w:rPr>
          <w:rFonts w:ascii="Arial" w:hAnsi="Arial" w:cs="Arial"/>
          <w:b/>
          <w:sz w:val="20"/>
          <w:szCs w:val="20"/>
        </w:rPr>
        <w:t>a)</w:t>
      </w:r>
      <w:r w:rsidRPr="00FA379D">
        <w:rPr>
          <w:rFonts w:ascii="Arial" w:hAnsi="Arial" w:cs="Arial"/>
          <w:sz w:val="20"/>
          <w:szCs w:val="20"/>
        </w:rPr>
        <w:t xml:space="preserve"> Fecha de creación del ente.</w:t>
      </w:r>
    </w:p>
    <w:p w14:paraId="6C46DA5B"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sz w:val="20"/>
          <w:szCs w:val="20"/>
        </w:rPr>
        <w:t>21 de octubre de 2008 mediante Decreto Gubernativo Núm.83 publicado en el DOF del 21 de octubre del 2008</w:t>
      </w:r>
    </w:p>
    <w:p w14:paraId="7533B5B7" w14:textId="77777777" w:rsidR="00065CDB" w:rsidRPr="00FA379D" w:rsidRDefault="00065CDB" w:rsidP="00065CDB">
      <w:pPr>
        <w:tabs>
          <w:tab w:val="left" w:leader="underscore" w:pos="9639"/>
        </w:tabs>
        <w:jc w:val="both"/>
        <w:rPr>
          <w:rFonts w:ascii="Arial" w:hAnsi="Arial" w:cs="Arial"/>
          <w:sz w:val="20"/>
          <w:szCs w:val="20"/>
        </w:rPr>
      </w:pPr>
      <w:bookmarkStart w:id="4" w:name="_Hlk30594446"/>
      <w:bookmarkStart w:id="5" w:name="_Hlk77667301"/>
      <w:bookmarkStart w:id="6" w:name="_Hlk30594461"/>
      <w:bookmarkStart w:id="7" w:name="_Hlk37984934"/>
      <w:r w:rsidRPr="00FA379D">
        <w:rPr>
          <w:rFonts w:ascii="Arial" w:hAnsi="Arial" w:cs="Arial"/>
          <w:b/>
          <w:sz w:val="20"/>
          <w:szCs w:val="20"/>
        </w:rPr>
        <w:t>b)</w:t>
      </w:r>
      <w:r w:rsidRPr="00FA379D">
        <w:rPr>
          <w:rFonts w:ascii="Arial" w:hAnsi="Arial" w:cs="Arial"/>
          <w:sz w:val="20"/>
          <w:szCs w:val="20"/>
        </w:rPr>
        <w:t xml:space="preserve"> Principales cambios en su estructura (interna históricamente).</w:t>
      </w:r>
    </w:p>
    <w:p w14:paraId="5BCF139B"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sz w:val="20"/>
          <w:szCs w:val="20"/>
        </w:rPr>
        <w:t>El Instituto de Infraestructura Física Educativa de Guanajuato inició operaciones con diecinueve plazas.</w:t>
      </w:r>
    </w:p>
    <w:p w14:paraId="32301154" w14:textId="77777777" w:rsidR="00065CDB" w:rsidRPr="00FA379D" w:rsidRDefault="00065CDB" w:rsidP="00065CDB">
      <w:pPr>
        <w:tabs>
          <w:tab w:val="left" w:leader="underscore" w:pos="9639"/>
        </w:tabs>
        <w:jc w:val="both"/>
        <w:rPr>
          <w:rFonts w:ascii="Arial" w:hAnsi="Arial" w:cs="Arial"/>
          <w:sz w:val="20"/>
          <w:szCs w:val="20"/>
        </w:rPr>
      </w:pPr>
      <w:bookmarkStart w:id="8" w:name="_Hlk85201731"/>
      <w:bookmarkStart w:id="9" w:name="_Hlk69711708"/>
      <w:r w:rsidRPr="00FA379D">
        <w:rPr>
          <w:rFonts w:ascii="Arial" w:hAnsi="Arial" w:cs="Arial"/>
          <w:sz w:val="20"/>
          <w:szCs w:val="20"/>
        </w:rPr>
        <w:t>En el mes de junio de 2010 se autoriza la cancelación de 1 plaza nivel 9 para re tabular a 3 jefes de departamento a coordinadores.</w:t>
      </w:r>
    </w:p>
    <w:p w14:paraId="79158C31"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sz w:val="20"/>
          <w:szCs w:val="20"/>
        </w:rPr>
        <w:t>Para el primero de enero de 2011 se le autorizaron veintitrés nuevas plazas, haciendo un total de cuarenta y una.</w:t>
      </w:r>
    </w:p>
    <w:p w14:paraId="4AB03B59"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sz w:val="20"/>
          <w:szCs w:val="20"/>
        </w:rPr>
        <w:t xml:space="preserve">En el mes de octubre del ejercicio 2011 se autoriza por parte de la Secretaría de Finanzas y Administración la Autorización de la Retabulación de los Coordinadores a </w:t>
      </w:r>
      <w:proofErr w:type="gramStart"/>
      <w:r w:rsidRPr="00FA379D">
        <w:rPr>
          <w:rFonts w:ascii="Arial" w:hAnsi="Arial" w:cs="Arial"/>
          <w:sz w:val="20"/>
          <w:szCs w:val="20"/>
        </w:rPr>
        <w:t>Directores</w:t>
      </w:r>
      <w:proofErr w:type="gramEnd"/>
      <w:r w:rsidRPr="00FA379D">
        <w:rPr>
          <w:rFonts w:ascii="Arial" w:hAnsi="Arial" w:cs="Arial"/>
          <w:sz w:val="20"/>
          <w:szCs w:val="20"/>
        </w:rPr>
        <w:t xml:space="preserve"> de Área.</w:t>
      </w:r>
    </w:p>
    <w:p w14:paraId="65E18F6F"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b/>
          <w:sz w:val="20"/>
          <w:szCs w:val="20"/>
        </w:rPr>
        <w:t>2013</w:t>
      </w:r>
    </w:p>
    <w:p w14:paraId="194887D1"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sz w:val="20"/>
          <w:szCs w:val="20"/>
        </w:rPr>
        <w:t>En el mes de agosto se autoriza el cambio de la plaza de secretaria de la Dirección de Planeación a la Dirección General, la plaza de Encargado de Sistemas de Dirección General a Dirección Administrativa y la plaza de Operador de Sistemas de la Dirección de Planeación a la Dirección Administrativa.</w:t>
      </w:r>
    </w:p>
    <w:p w14:paraId="0E8F2563"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sz w:val="20"/>
          <w:szCs w:val="20"/>
        </w:rPr>
        <w:t>En el mes de octubre de 2013 se autoriza por parte de la Secretaría de Finanzas Inversión y Administración la creación de la plaza de Coordinador de Comunicación Social nivel 11 y se cancelan dos plazas nivel 7 y 4, haciendo un total de cuarenta plazas.</w:t>
      </w:r>
    </w:p>
    <w:p w14:paraId="2499ECE1" w14:textId="77777777" w:rsidR="00065CDB" w:rsidRPr="00FA379D" w:rsidRDefault="00065CDB" w:rsidP="00065CDB">
      <w:pPr>
        <w:tabs>
          <w:tab w:val="left" w:leader="underscore" w:pos="9639"/>
        </w:tabs>
        <w:jc w:val="both"/>
        <w:rPr>
          <w:rFonts w:ascii="Arial" w:hAnsi="Arial" w:cs="Arial"/>
          <w:b/>
          <w:sz w:val="20"/>
          <w:szCs w:val="20"/>
        </w:rPr>
      </w:pPr>
      <w:bookmarkStart w:id="10" w:name="_Hlk22045039"/>
      <w:bookmarkStart w:id="11" w:name="_Hlk14084456"/>
      <w:r w:rsidRPr="00FA379D">
        <w:rPr>
          <w:rFonts w:ascii="Arial" w:hAnsi="Arial" w:cs="Arial"/>
          <w:b/>
          <w:sz w:val="20"/>
          <w:szCs w:val="20"/>
        </w:rPr>
        <w:t>2014</w:t>
      </w:r>
    </w:p>
    <w:p w14:paraId="40214A22"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sz w:val="20"/>
          <w:szCs w:val="20"/>
        </w:rPr>
        <w:t>En el mes de febrero 2014 se autoriza la retabulación de dos plazas mediante movimiento compensado realizando la democión de un nivel 11 a 9 y la retabulación de una 9 a 11.</w:t>
      </w:r>
    </w:p>
    <w:p w14:paraId="5825BE63"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sz w:val="20"/>
          <w:szCs w:val="20"/>
        </w:rPr>
        <w:t>En el mes de febrero de 2014 se autoriza la retabulación de una plaza de nivel 15 a 16</w:t>
      </w:r>
    </w:p>
    <w:p w14:paraId="3B05B31B"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sz w:val="20"/>
          <w:szCs w:val="20"/>
        </w:rPr>
        <w:lastRenderedPageBreak/>
        <w:t>En el mes de abril de 2014 se autoriza por parte de la Secretaría de Finanzas Inversión y Administración la democión de dos plazas de supervisores de obra de nivel 8 a 7, la retabulación de una plaza nivel 3 a 4 y el cambio del Área de Costos de la Dirección Técnica a la Dirección de Planeación.</w:t>
      </w:r>
      <w:bookmarkEnd w:id="2"/>
    </w:p>
    <w:p w14:paraId="64B4F629" w14:textId="77777777" w:rsidR="00065CDB" w:rsidRPr="00FA379D" w:rsidRDefault="00065CDB" w:rsidP="00065CDB">
      <w:pPr>
        <w:tabs>
          <w:tab w:val="left" w:leader="underscore" w:pos="9639"/>
        </w:tabs>
        <w:jc w:val="both"/>
        <w:rPr>
          <w:rFonts w:ascii="Arial" w:hAnsi="Arial" w:cs="Arial"/>
          <w:sz w:val="20"/>
          <w:szCs w:val="20"/>
        </w:rPr>
      </w:pPr>
      <w:bookmarkStart w:id="12" w:name="_Hlk6143189"/>
      <w:bookmarkEnd w:id="4"/>
      <w:r w:rsidRPr="00FA379D">
        <w:rPr>
          <w:rFonts w:ascii="Arial" w:hAnsi="Arial" w:cs="Arial"/>
          <w:sz w:val="20"/>
          <w:szCs w:val="20"/>
        </w:rPr>
        <w:t>En julio de 2014 se autoriza el cambio de la plaza de Supervisor de Obra de Dirección Técnica a Dirección de Planeación como Operador de Costos realizando la democión de nivel 8 a 7, la retabulación de la plaza de Estructurista de la Dirección de Planeación de nivel 7 a 8 y la cancelación de la plaza Jefe de Proyectos de Infraestructura de nivel medio superior y superior nivel 9, creación de la plaza Auxiliar de jefe de proyectos de infraestructura educativa nivel medio superior y superior nivel 4 y retabulación de la plaza de la plaza Subcoordinador de Zona C a nivel 9.</w:t>
      </w:r>
      <w:bookmarkEnd w:id="3"/>
      <w:bookmarkEnd w:id="5"/>
    </w:p>
    <w:p w14:paraId="0D547D8E" w14:textId="77777777" w:rsidR="00065CDB" w:rsidRPr="00FA379D" w:rsidRDefault="00065CDB" w:rsidP="00065CDB">
      <w:pPr>
        <w:tabs>
          <w:tab w:val="left" w:leader="underscore" w:pos="9639"/>
        </w:tabs>
        <w:jc w:val="both"/>
        <w:rPr>
          <w:rFonts w:ascii="Arial" w:hAnsi="Arial" w:cs="Arial"/>
          <w:sz w:val="20"/>
          <w:szCs w:val="20"/>
        </w:rPr>
      </w:pPr>
      <w:bookmarkStart w:id="13" w:name="_Hlk125634296"/>
      <w:bookmarkStart w:id="14" w:name="_Hlk125634307"/>
      <w:bookmarkEnd w:id="6"/>
      <w:bookmarkEnd w:id="8"/>
      <w:r w:rsidRPr="00FA379D">
        <w:rPr>
          <w:rFonts w:ascii="Arial" w:hAnsi="Arial" w:cs="Arial"/>
          <w:sz w:val="20"/>
          <w:szCs w:val="20"/>
        </w:rPr>
        <w:t xml:space="preserve">En el mes de octubre del mismo año se autoriza por parte de la Secretaría de Finanzas Inversión y Administración la retabulación de nivel 16 a 17 y el cambio de la Plaza de Proyectista de la Dirección de Planeación a la Dirección Técnica como </w:t>
      </w:r>
      <w:proofErr w:type="gramStart"/>
      <w:r w:rsidRPr="00FA379D">
        <w:rPr>
          <w:rFonts w:ascii="Arial" w:hAnsi="Arial" w:cs="Arial"/>
          <w:sz w:val="20"/>
          <w:szCs w:val="20"/>
        </w:rPr>
        <w:t>Jefe</w:t>
      </w:r>
      <w:proofErr w:type="gramEnd"/>
      <w:r w:rsidRPr="00FA379D">
        <w:rPr>
          <w:rFonts w:ascii="Arial" w:hAnsi="Arial" w:cs="Arial"/>
          <w:sz w:val="20"/>
          <w:szCs w:val="20"/>
        </w:rPr>
        <w:t xml:space="preserve"> de Seguimiento y Control de Obra.</w:t>
      </w:r>
      <w:bookmarkEnd w:id="9"/>
    </w:p>
    <w:bookmarkEnd w:id="7"/>
    <w:p w14:paraId="7D617152" w14:textId="77777777" w:rsidR="00065CDB" w:rsidRPr="00FA379D" w:rsidRDefault="00065CDB" w:rsidP="00065CDB">
      <w:pPr>
        <w:tabs>
          <w:tab w:val="left" w:leader="underscore" w:pos="9639"/>
        </w:tabs>
        <w:jc w:val="both"/>
        <w:rPr>
          <w:rFonts w:ascii="Arial" w:hAnsi="Arial" w:cs="Arial"/>
          <w:b/>
          <w:bCs/>
          <w:sz w:val="20"/>
          <w:szCs w:val="20"/>
        </w:rPr>
      </w:pPr>
      <w:r w:rsidRPr="00FA379D">
        <w:rPr>
          <w:rFonts w:ascii="Arial" w:hAnsi="Arial" w:cs="Arial"/>
          <w:b/>
          <w:bCs/>
          <w:sz w:val="20"/>
          <w:szCs w:val="20"/>
        </w:rPr>
        <w:t>2015</w:t>
      </w:r>
    </w:p>
    <w:p w14:paraId="1E455499"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sz w:val="20"/>
          <w:szCs w:val="20"/>
        </w:rPr>
        <w:t>En el mes de mayo de 2015 se autoriza por parte de la Secretaría de Finanzas Inversión y Administración el cambio de la Plaza Auxiliar Administrativo de la Dirección General a la Dirección Administrativa.</w:t>
      </w:r>
    </w:p>
    <w:p w14:paraId="64CB2428" w14:textId="77777777" w:rsidR="00065CDB" w:rsidRPr="004E151F" w:rsidRDefault="00065CDB" w:rsidP="00065CDB">
      <w:pPr>
        <w:tabs>
          <w:tab w:val="left" w:leader="underscore" w:pos="9639"/>
        </w:tabs>
        <w:jc w:val="both"/>
        <w:rPr>
          <w:rFonts w:ascii="Arial" w:hAnsi="Arial" w:cs="Arial"/>
          <w:sz w:val="20"/>
          <w:szCs w:val="20"/>
        </w:rPr>
      </w:pPr>
      <w:r w:rsidRPr="00FA379D">
        <w:rPr>
          <w:rFonts w:ascii="Arial" w:hAnsi="Arial" w:cs="Arial"/>
          <w:sz w:val="20"/>
          <w:szCs w:val="20"/>
        </w:rPr>
        <w:t xml:space="preserve">En el mes de agosto de 2015 se autoriza por parte de la Secretaría de Finanzas Inversión y Administración la retabulación de doce plazas, de las cuales cuatro son de los </w:t>
      </w:r>
      <w:proofErr w:type="gramStart"/>
      <w:r w:rsidRPr="00FA379D">
        <w:rPr>
          <w:rFonts w:ascii="Arial" w:hAnsi="Arial" w:cs="Arial"/>
          <w:sz w:val="20"/>
          <w:szCs w:val="20"/>
        </w:rPr>
        <w:t>Directores</w:t>
      </w:r>
      <w:proofErr w:type="gramEnd"/>
      <w:r w:rsidRPr="00FA379D">
        <w:rPr>
          <w:rFonts w:ascii="Arial" w:hAnsi="Arial" w:cs="Arial"/>
          <w:sz w:val="20"/>
          <w:szCs w:val="20"/>
        </w:rPr>
        <w:t xml:space="preserve"> de Área de nivel 12 a 13, dos Jefes de Proyectos de nivel 8 a 9, dos jefes de costos de nivel 7 a 9, dos Coordinadores de Supervisión de Obra de nivel 7 y 8 a nivel 9 ambas, del Coordinador de Recursos Financieros de nivel 7 a 9 y del Coordinador de Recursos de Inversión de nivel 8 a 9.</w:t>
      </w:r>
      <w:bookmarkEnd w:id="10"/>
      <w:bookmarkEnd w:id="11"/>
      <w:bookmarkEnd w:id="12"/>
    </w:p>
    <w:p w14:paraId="603703AC" w14:textId="77777777" w:rsidR="00065CDB" w:rsidRPr="00FA379D" w:rsidRDefault="00065CDB" w:rsidP="00065CDB">
      <w:pPr>
        <w:tabs>
          <w:tab w:val="left" w:leader="underscore" w:pos="9639"/>
        </w:tabs>
        <w:jc w:val="both"/>
        <w:rPr>
          <w:rFonts w:ascii="Arial" w:hAnsi="Arial" w:cs="Arial"/>
          <w:b/>
          <w:sz w:val="20"/>
          <w:szCs w:val="20"/>
        </w:rPr>
      </w:pPr>
      <w:r w:rsidRPr="00FA379D">
        <w:rPr>
          <w:rFonts w:ascii="Arial" w:hAnsi="Arial" w:cs="Arial"/>
          <w:b/>
          <w:sz w:val="20"/>
          <w:szCs w:val="20"/>
        </w:rPr>
        <w:t>2016</w:t>
      </w:r>
    </w:p>
    <w:p w14:paraId="3994C1F7" w14:textId="77777777" w:rsidR="00065CDB" w:rsidRPr="00FA379D" w:rsidRDefault="00065CDB" w:rsidP="00065CDB">
      <w:pPr>
        <w:tabs>
          <w:tab w:val="left" w:leader="underscore" w:pos="9639"/>
        </w:tabs>
        <w:jc w:val="both"/>
        <w:rPr>
          <w:rFonts w:ascii="Arial" w:hAnsi="Arial" w:cs="Arial"/>
          <w:bCs/>
          <w:sz w:val="20"/>
          <w:szCs w:val="20"/>
        </w:rPr>
      </w:pPr>
      <w:r w:rsidRPr="00FA379D">
        <w:rPr>
          <w:rFonts w:ascii="Arial" w:hAnsi="Arial" w:cs="Arial"/>
          <w:bCs/>
          <w:sz w:val="20"/>
          <w:szCs w:val="20"/>
        </w:rPr>
        <w:t>En el mes de mayo de 2016 se autorizan por parte de la Secretaría de Finanzas Inversión y Administración la creación de treinta y seis plazas, una Auxiliar de Programas de Infraestructura Física Educativa nivel 6, una Coordinador de Enlace nivel 8, una Coordinador de Licitaciones Estatal y Federal nivel 9, una Coordinador de Supervisión de Obra Región VI, VII y VIII nivel 9, una Coordinador Jurídico nivel 9, una Coordinador de Control Técnico nivel 6, una Director de Validaciones y Programas Especiales nivel 11, una Enlace de Planeación nivel 6, una Responsable de Contratos nivel 9, una Responsable de Estimaciones nivel 6, una Responsable de Oficialía de Partes nivel 2, dos Responsable de Recursos de Inversión nivel 6, dos Supervisor de Costos nivel 6, una Supervisor de Expedientes Técnicos nivel 6,  trece Supervisor de Obra nivel 6 y siete Supervisor de Proyectos.</w:t>
      </w:r>
    </w:p>
    <w:p w14:paraId="1AE1EA76" w14:textId="77777777" w:rsidR="00065CDB" w:rsidRPr="00FA379D" w:rsidRDefault="00065CDB" w:rsidP="00065CDB">
      <w:pPr>
        <w:tabs>
          <w:tab w:val="left" w:leader="underscore" w:pos="9639"/>
        </w:tabs>
        <w:jc w:val="both"/>
        <w:rPr>
          <w:rFonts w:ascii="Arial" w:hAnsi="Arial" w:cs="Arial"/>
          <w:bCs/>
          <w:sz w:val="20"/>
          <w:szCs w:val="20"/>
        </w:rPr>
      </w:pPr>
      <w:r w:rsidRPr="00FA379D">
        <w:rPr>
          <w:rFonts w:ascii="Arial" w:hAnsi="Arial" w:cs="Arial"/>
          <w:bCs/>
          <w:sz w:val="20"/>
          <w:szCs w:val="20"/>
        </w:rPr>
        <w:t xml:space="preserve">En el mes de junio de 2016, se autoriza por parte de la Secretaría de Finanzas Inversión y Administración la creación de cuatro nuevas plazas, un Coordinador de Diagnóstico nivel 9, un </w:t>
      </w:r>
      <w:proofErr w:type="gramStart"/>
      <w:r w:rsidRPr="00FA379D">
        <w:rPr>
          <w:rFonts w:ascii="Arial" w:hAnsi="Arial" w:cs="Arial"/>
          <w:bCs/>
          <w:sz w:val="20"/>
          <w:szCs w:val="20"/>
        </w:rPr>
        <w:t>Jefe</w:t>
      </w:r>
      <w:proofErr w:type="gramEnd"/>
      <w:r w:rsidRPr="00FA379D">
        <w:rPr>
          <w:rFonts w:ascii="Arial" w:hAnsi="Arial" w:cs="Arial"/>
          <w:bCs/>
          <w:sz w:val="20"/>
          <w:szCs w:val="20"/>
        </w:rPr>
        <w:t xml:space="preserve"> de Costos nivel 8, un jefe de proyectos nivel 8 y un Programador de Sistemas de Control de Obra, así como la retabulación de la plaza Coordinador de Control Técnico de nivel 6 a 8.</w:t>
      </w:r>
    </w:p>
    <w:p w14:paraId="67EC8084" w14:textId="77777777" w:rsidR="00065CDB" w:rsidRPr="00FA379D" w:rsidRDefault="00065CDB" w:rsidP="00065CDB">
      <w:pPr>
        <w:tabs>
          <w:tab w:val="left" w:leader="underscore" w:pos="9639"/>
        </w:tabs>
        <w:jc w:val="both"/>
        <w:rPr>
          <w:rFonts w:ascii="Arial" w:hAnsi="Arial" w:cs="Arial"/>
          <w:bCs/>
          <w:sz w:val="20"/>
          <w:szCs w:val="20"/>
        </w:rPr>
      </w:pPr>
      <w:r w:rsidRPr="00FA379D">
        <w:rPr>
          <w:rFonts w:ascii="Arial" w:hAnsi="Arial" w:cs="Arial"/>
          <w:bCs/>
          <w:sz w:val="20"/>
          <w:szCs w:val="20"/>
        </w:rPr>
        <w:t>En el mes de noviembre de 2016 se autoriza por parte de Secretaría de Finanzas Inversión y Administración la transferencia de una plaza Auxiliar Administrativo nivel 4, del Instituto a la nueva Unidad de Transparencia y Archivos del Poder Ejecutivo (UTAPE).</w:t>
      </w:r>
      <w:bookmarkEnd w:id="13"/>
    </w:p>
    <w:p w14:paraId="770B2503" w14:textId="77777777" w:rsidR="00065CDB" w:rsidRPr="00FA379D" w:rsidRDefault="00065CDB" w:rsidP="00065CDB">
      <w:pPr>
        <w:tabs>
          <w:tab w:val="left" w:leader="underscore" w:pos="9639"/>
        </w:tabs>
        <w:jc w:val="both"/>
        <w:rPr>
          <w:rFonts w:ascii="Arial" w:hAnsi="Arial" w:cs="Arial"/>
          <w:b/>
          <w:sz w:val="20"/>
          <w:szCs w:val="20"/>
        </w:rPr>
      </w:pPr>
      <w:r w:rsidRPr="00FA379D">
        <w:rPr>
          <w:rFonts w:ascii="Arial" w:hAnsi="Arial" w:cs="Arial"/>
          <w:b/>
          <w:sz w:val="20"/>
          <w:szCs w:val="20"/>
        </w:rPr>
        <w:t>2017</w:t>
      </w:r>
    </w:p>
    <w:p w14:paraId="0197D4DC" w14:textId="77777777" w:rsidR="00065CDB" w:rsidRPr="00FA379D" w:rsidRDefault="00065CDB" w:rsidP="00065CDB">
      <w:pPr>
        <w:tabs>
          <w:tab w:val="left" w:leader="underscore" w:pos="9639"/>
        </w:tabs>
        <w:jc w:val="both"/>
        <w:rPr>
          <w:rFonts w:ascii="Arial" w:hAnsi="Arial" w:cs="Arial"/>
          <w:bCs/>
          <w:sz w:val="20"/>
          <w:szCs w:val="20"/>
        </w:rPr>
      </w:pPr>
      <w:r w:rsidRPr="00FA379D">
        <w:rPr>
          <w:rFonts w:ascii="Arial" w:hAnsi="Arial" w:cs="Arial"/>
          <w:bCs/>
          <w:sz w:val="20"/>
          <w:szCs w:val="20"/>
        </w:rPr>
        <w:t>En el mes de febrero de 2017, la Secretaría de Finanzas Inversión y Administración autoriza cambio de jefe y de unidad organizativa de tres puestos y un cambio de datos presupuestales.</w:t>
      </w:r>
    </w:p>
    <w:p w14:paraId="38CDBDA2" w14:textId="77777777" w:rsidR="00065CDB" w:rsidRPr="00FA379D" w:rsidRDefault="00065CDB" w:rsidP="00065CDB">
      <w:pPr>
        <w:tabs>
          <w:tab w:val="left" w:leader="underscore" w:pos="9639"/>
        </w:tabs>
        <w:jc w:val="both"/>
        <w:rPr>
          <w:rFonts w:ascii="Arial" w:hAnsi="Arial" w:cs="Arial"/>
          <w:b/>
          <w:sz w:val="20"/>
          <w:szCs w:val="20"/>
        </w:rPr>
      </w:pPr>
      <w:r w:rsidRPr="00FA379D">
        <w:rPr>
          <w:rFonts w:ascii="Arial" w:hAnsi="Arial" w:cs="Arial"/>
          <w:b/>
          <w:sz w:val="20"/>
          <w:szCs w:val="20"/>
        </w:rPr>
        <w:lastRenderedPageBreak/>
        <w:t>2018</w:t>
      </w:r>
    </w:p>
    <w:p w14:paraId="47F0D528" w14:textId="77777777" w:rsidR="00065CDB" w:rsidRPr="00FA379D" w:rsidRDefault="00065CDB" w:rsidP="00065CDB">
      <w:pPr>
        <w:tabs>
          <w:tab w:val="left" w:leader="underscore" w:pos="9639"/>
        </w:tabs>
        <w:jc w:val="both"/>
        <w:rPr>
          <w:rFonts w:ascii="Arial" w:hAnsi="Arial" w:cs="Arial"/>
          <w:bCs/>
          <w:sz w:val="20"/>
          <w:szCs w:val="20"/>
        </w:rPr>
      </w:pPr>
      <w:r w:rsidRPr="00FA379D">
        <w:rPr>
          <w:rFonts w:ascii="Arial" w:hAnsi="Arial" w:cs="Arial"/>
          <w:bCs/>
          <w:sz w:val="20"/>
          <w:szCs w:val="20"/>
        </w:rPr>
        <w:t>En el mes de julio de 2018, la Secretaría de Finanzas Inversión y Administración autorizo la retabulación de treinta y una plazas de nivel 6 a nivel 7 y una de nivel 11 a nivel 12.</w:t>
      </w:r>
    </w:p>
    <w:p w14:paraId="7D2E34A5" w14:textId="77777777" w:rsidR="00065CDB" w:rsidRPr="00FA379D" w:rsidRDefault="00065CDB" w:rsidP="00065CDB">
      <w:pPr>
        <w:tabs>
          <w:tab w:val="left" w:leader="underscore" w:pos="9639"/>
        </w:tabs>
        <w:jc w:val="both"/>
        <w:rPr>
          <w:rFonts w:ascii="Arial" w:hAnsi="Arial" w:cs="Arial"/>
          <w:bCs/>
          <w:sz w:val="20"/>
          <w:szCs w:val="20"/>
        </w:rPr>
      </w:pPr>
    </w:p>
    <w:bookmarkEnd w:id="14"/>
    <w:p w14:paraId="70A6AB54" w14:textId="77777777" w:rsidR="00065CDB" w:rsidRPr="00FA379D" w:rsidRDefault="00065CDB" w:rsidP="00065CDB">
      <w:pPr>
        <w:tabs>
          <w:tab w:val="left" w:leader="underscore" w:pos="9639"/>
        </w:tabs>
        <w:jc w:val="both"/>
        <w:rPr>
          <w:rFonts w:ascii="Arial" w:hAnsi="Arial" w:cs="Arial"/>
          <w:bCs/>
          <w:sz w:val="20"/>
          <w:szCs w:val="20"/>
        </w:rPr>
      </w:pPr>
      <w:r w:rsidRPr="00FA379D">
        <w:rPr>
          <w:rFonts w:ascii="Arial" w:hAnsi="Arial" w:cs="Arial"/>
          <w:bCs/>
          <w:sz w:val="20"/>
          <w:szCs w:val="20"/>
        </w:rPr>
        <w:t>En el mes de noviembre de 2018 la Secretaría de Finanzas Inversión y Administración autorizo la cancelación de una plaza nivel 7 y retabulación de dos plazas nivel 9 a 10 y una plaza nivel 8 a 9.</w:t>
      </w:r>
    </w:p>
    <w:p w14:paraId="4507AC6D" w14:textId="77777777" w:rsidR="00065CDB" w:rsidRPr="00FA379D" w:rsidRDefault="00065CDB" w:rsidP="00065CDB">
      <w:pPr>
        <w:tabs>
          <w:tab w:val="left" w:leader="underscore" w:pos="9639"/>
        </w:tabs>
        <w:jc w:val="both"/>
        <w:rPr>
          <w:rFonts w:ascii="Arial" w:hAnsi="Arial" w:cs="Arial"/>
          <w:bCs/>
          <w:sz w:val="20"/>
          <w:szCs w:val="20"/>
        </w:rPr>
      </w:pPr>
      <w:r w:rsidRPr="00FA379D">
        <w:rPr>
          <w:rFonts w:ascii="Arial" w:hAnsi="Arial" w:cs="Arial"/>
          <w:bCs/>
          <w:sz w:val="20"/>
          <w:szCs w:val="20"/>
        </w:rPr>
        <w:t>En el mes de diciembre de 2018 la Secretaría de Finanzas Inversión y Administración autoriza la transferencia de una plaza de Coordinador de Comunicación Social nivel 11 a la Coordinación de Comunicación Social.</w:t>
      </w:r>
    </w:p>
    <w:p w14:paraId="526EB5A0" w14:textId="77777777" w:rsidR="00065CDB" w:rsidRPr="00FA379D" w:rsidRDefault="00065CDB" w:rsidP="00065CDB">
      <w:pPr>
        <w:tabs>
          <w:tab w:val="left" w:leader="underscore" w:pos="9639"/>
        </w:tabs>
        <w:jc w:val="both"/>
        <w:rPr>
          <w:rFonts w:ascii="Arial" w:hAnsi="Arial" w:cs="Arial"/>
          <w:b/>
          <w:sz w:val="20"/>
          <w:szCs w:val="20"/>
        </w:rPr>
      </w:pPr>
      <w:r w:rsidRPr="00FA379D">
        <w:rPr>
          <w:rFonts w:ascii="Arial" w:hAnsi="Arial" w:cs="Arial"/>
          <w:b/>
          <w:sz w:val="20"/>
          <w:szCs w:val="20"/>
        </w:rPr>
        <w:t>2019</w:t>
      </w:r>
    </w:p>
    <w:p w14:paraId="7C3AA7C5" w14:textId="77777777" w:rsidR="00065CDB" w:rsidRPr="00FA379D" w:rsidRDefault="00065CDB" w:rsidP="00065CDB">
      <w:pPr>
        <w:tabs>
          <w:tab w:val="left" w:leader="underscore" w:pos="9639"/>
        </w:tabs>
        <w:jc w:val="both"/>
        <w:rPr>
          <w:rFonts w:ascii="Arial" w:hAnsi="Arial" w:cs="Arial"/>
          <w:bCs/>
          <w:sz w:val="20"/>
          <w:szCs w:val="20"/>
        </w:rPr>
      </w:pPr>
      <w:r w:rsidRPr="00FA379D">
        <w:rPr>
          <w:rFonts w:ascii="Arial" w:hAnsi="Arial" w:cs="Arial"/>
          <w:bCs/>
          <w:sz w:val="20"/>
          <w:szCs w:val="20"/>
        </w:rPr>
        <w:t>En el mes de agosto de 2019 la Secretaría de Finanzas Inversión y Administración autorizo cambios estructurales, cinco cambios de denominación funcional, trece cambios de unidad organizativa y jefe inmediato, la creación de una unidad organizativa, y tres cambios de datos presupuestales.</w:t>
      </w:r>
    </w:p>
    <w:p w14:paraId="714318F0" w14:textId="77777777" w:rsidR="00065CDB" w:rsidRPr="00FA379D" w:rsidRDefault="00065CDB" w:rsidP="00065CDB">
      <w:pPr>
        <w:tabs>
          <w:tab w:val="left" w:leader="underscore" w:pos="9639"/>
        </w:tabs>
        <w:jc w:val="both"/>
        <w:rPr>
          <w:rFonts w:ascii="Arial" w:hAnsi="Arial" w:cs="Arial"/>
          <w:b/>
          <w:sz w:val="20"/>
          <w:szCs w:val="20"/>
        </w:rPr>
      </w:pPr>
      <w:r w:rsidRPr="00FA379D">
        <w:rPr>
          <w:rFonts w:ascii="Arial" w:hAnsi="Arial" w:cs="Arial"/>
          <w:b/>
          <w:sz w:val="20"/>
          <w:szCs w:val="20"/>
        </w:rPr>
        <w:t>2021</w:t>
      </w:r>
    </w:p>
    <w:p w14:paraId="3620B071" w14:textId="77777777" w:rsidR="00065CDB" w:rsidRPr="00FA379D" w:rsidRDefault="00065CDB" w:rsidP="00065CDB">
      <w:pPr>
        <w:tabs>
          <w:tab w:val="left" w:leader="underscore" w:pos="9639"/>
        </w:tabs>
        <w:jc w:val="both"/>
        <w:rPr>
          <w:rFonts w:ascii="Arial" w:hAnsi="Arial" w:cs="Arial"/>
          <w:bCs/>
          <w:sz w:val="20"/>
          <w:szCs w:val="20"/>
        </w:rPr>
      </w:pPr>
      <w:r w:rsidRPr="00FA379D">
        <w:rPr>
          <w:rFonts w:ascii="Arial" w:hAnsi="Arial" w:cs="Arial"/>
          <w:bCs/>
          <w:sz w:val="20"/>
          <w:szCs w:val="20"/>
        </w:rPr>
        <w:t>En el mes de julio de 2021 la Secretaría de Finanzas Inversión y Administración autoriza la cancelación de seis contratos de honorarios asimilados a salarios y la creación de cuatro plazas definitivas, una Asistente Técnico nivel 5, una Coordinadora Operativa Jurídica nivel 7, una Coordinador de lo Contencioso nivel 7 y una Coordinador de Sistemas para Control de Obra nivel 9.</w:t>
      </w:r>
    </w:p>
    <w:p w14:paraId="1F1D9F44" w14:textId="77777777" w:rsidR="00065CDB" w:rsidRPr="00FA379D" w:rsidRDefault="00065CDB" w:rsidP="00065CDB">
      <w:pPr>
        <w:tabs>
          <w:tab w:val="left" w:leader="underscore" w:pos="9639"/>
        </w:tabs>
        <w:jc w:val="both"/>
        <w:rPr>
          <w:rFonts w:ascii="Arial" w:hAnsi="Arial" w:cs="Arial"/>
          <w:bCs/>
          <w:sz w:val="20"/>
          <w:szCs w:val="20"/>
        </w:rPr>
      </w:pPr>
      <w:r w:rsidRPr="00FA379D">
        <w:rPr>
          <w:rFonts w:ascii="Arial" w:hAnsi="Arial" w:cs="Arial"/>
          <w:bCs/>
          <w:sz w:val="20"/>
          <w:szCs w:val="20"/>
        </w:rPr>
        <w:t>En el mes de diciembre de 2021 la Secretaría de Finanzas Inversión y Administración autoriza la cancelación de tres puestos definitivos, un nivel nueve y dos niveles siete y la cancelación de trece contratos de honorarios asimilados a salarios.</w:t>
      </w:r>
    </w:p>
    <w:p w14:paraId="4E73C0BB" w14:textId="77777777" w:rsidR="00065CDB" w:rsidRPr="00FA379D" w:rsidRDefault="00065CDB" w:rsidP="00065CDB">
      <w:pPr>
        <w:tabs>
          <w:tab w:val="left" w:leader="underscore" w:pos="9639"/>
        </w:tabs>
        <w:jc w:val="both"/>
        <w:rPr>
          <w:rFonts w:ascii="Arial" w:hAnsi="Arial" w:cs="Arial"/>
          <w:b/>
          <w:sz w:val="20"/>
          <w:szCs w:val="20"/>
        </w:rPr>
      </w:pPr>
      <w:r w:rsidRPr="00FA379D">
        <w:rPr>
          <w:rFonts w:ascii="Arial" w:hAnsi="Arial" w:cs="Arial"/>
          <w:b/>
          <w:sz w:val="20"/>
          <w:szCs w:val="20"/>
        </w:rPr>
        <w:t>2022</w:t>
      </w:r>
    </w:p>
    <w:p w14:paraId="49B59548" w14:textId="77777777" w:rsidR="00065CDB" w:rsidRPr="00FA379D" w:rsidRDefault="00065CDB" w:rsidP="00065CDB">
      <w:pPr>
        <w:tabs>
          <w:tab w:val="left" w:leader="underscore" w:pos="9639"/>
        </w:tabs>
        <w:jc w:val="both"/>
        <w:rPr>
          <w:rFonts w:ascii="Arial" w:hAnsi="Arial" w:cs="Arial"/>
          <w:bCs/>
          <w:sz w:val="20"/>
          <w:szCs w:val="20"/>
        </w:rPr>
      </w:pPr>
      <w:r w:rsidRPr="00FA379D">
        <w:rPr>
          <w:rFonts w:ascii="Arial" w:hAnsi="Arial" w:cs="Arial"/>
          <w:bCs/>
          <w:sz w:val="20"/>
          <w:szCs w:val="20"/>
        </w:rPr>
        <w:t>En el mes de julio de 2022 la Secretaría de Finanzas Inversión y Administración valida mediante el Sistema Rector SAP el cambio estructural mediante el cual se transfieren setenta y siete puestos definitivos y cincuenta y tres contratos de honorarios asimilados a salarios de la Sociedad IIEG a la Sociedad GEG.</w:t>
      </w:r>
    </w:p>
    <w:p w14:paraId="3A2353BF" w14:textId="562CD2B5" w:rsidR="007D1E76" w:rsidRPr="00E74967" w:rsidRDefault="007D1E76" w:rsidP="00CB41C4">
      <w:pPr>
        <w:tabs>
          <w:tab w:val="left" w:leader="underscore" w:pos="9639"/>
        </w:tabs>
        <w:spacing w:after="0" w:line="240" w:lineRule="auto"/>
        <w:jc w:val="both"/>
        <w:rPr>
          <w:rFonts w:cs="Calibri"/>
        </w:rPr>
      </w:pPr>
    </w:p>
    <w:p w14:paraId="16A215A1" w14:textId="77777777" w:rsidR="00516A8F" w:rsidRPr="00E74967" w:rsidRDefault="00516A8F" w:rsidP="00516A8F">
      <w:pPr>
        <w:tabs>
          <w:tab w:val="left" w:leader="underscore" w:pos="9639"/>
        </w:tabs>
        <w:spacing w:after="0" w:line="240" w:lineRule="auto"/>
        <w:jc w:val="both"/>
        <w:rPr>
          <w:rFonts w:cs="Calibri"/>
        </w:rPr>
      </w:pPr>
    </w:p>
    <w:p w14:paraId="5A494C73" w14:textId="7B672A6D" w:rsidR="00BE02EB" w:rsidRDefault="00BE02EB" w:rsidP="000C3365">
      <w:pPr>
        <w:pStyle w:val="Ttulo2"/>
        <w:rPr>
          <w:rFonts w:asciiTheme="minorHAnsi" w:hAnsiTheme="minorHAnsi" w:cstheme="minorHAnsi"/>
          <w:b/>
          <w:color w:val="auto"/>
          <w:sz w:val="22"/>
        </w:rPr>
      </w:pPr>
      <w:bookmarkStart w:id="15" w:name="_Toc161472867"/>
      <w:r>
        <w:rPr>
          <w:rFonts w:asciiTheme="minorHAnsi" w:hAnsiTheme="minorHAnsi" w:cstheme="minorHAnsi"/>
          <w:b/>
          <w:color w:val="auto"/>
          <w:sz w:val="22"/>
        </w:rPr>
        <w:t xml:space="preserve">2. </w:t>
      </w:r>
      <w:r w:rsidR="00B6368B" w:rsidRPr="00B6368B">
        <w:rPr>
          <w:rFonts w:asciiTheme="minorHAnsi" w:hAnsiTheme="minorHAnsi" w:cstheme="minorHAnsi"/>
          <w:b/>
          <w:color w:val="auto"/>
          <w:sz w:val="22"/>
        </w:rPr>
        <w:t>Panorama Económico y Financiero</w:t>
      </w:r>
      <w:bookmarkEnd w:id="15"/>
    </w:p>
    <w:p w14:paraId="548FE5C0" w14:textId="3C95EB09" w:rsidR="00516A8F" w:rsidRDefault="0012493A" w:rsidP="00516A8F">
      <w:pPr>
        <w:tabs>
          <w:tab w:val="left" w:leader="underscore" w:pos="9639"/>
        </w:tabs>
        <w:spacing w:after="0" w:line="240" w:lineRule="auto"/>
        <w:jc w:val="both"/>
        <w:rPr>
          <w:rFonts w:cs="Calibri"/>
        </w:rPr>
      </w:pPr>
      <w:r w:rsidRPr="0012493A">
        <w:rPr>
          <w:rFonts w:cs="Calibri"/>
        </w:rPr>
        <w:t>Se informará sobre las principales condiciones económico-financieras bajo las cuales el ente público estuvo operando; y las cuales influyeron en la toma de decisiones de la administración; tanto a nivel local como federal.</w:t>
      </w:r>
    </w:p>
    <w:p w14:paraId="0749F1C3" w14:textId="77777777" w:rsidR="00065CDB" w:rsidRDefault="00065CDB" w:rsidP="00516A8F">
      <w:pPr>
        <w:tabs>
          <w:tab w:val="left" w:leader="underscore" w:pos="9639"/>
        </w:tabs>
        <w:spacing w:after="0" w:line="240" w:lineRule="auto"/>
        <w:jc w:val="both"/>
        <w:rPr>
          <w:rFonts w:cs="Calibri"/>
        </w:rPr>
      </w:pPr>
    </w:p>
    <w:p w14:paraId="75516CEC" w14:textId="77777777" w:rsidR="00065CDB" w:rsidRPr="004E151F" w:rsidRDefault="00065CDB" w:rsidP="00065CDB">
      <w:pPr>
        <w:tabs>
          <w:tab w:val="left" w:leader="underscore" w:pos="9639"/>
        </w:tabs>
        <w:jc w:val="both"/>
        <w:rPr>
          <w:rFonts w:ascii="Arial" w:hAnsi="Arial" w:cs="Arial"/>
          <w:sz w:val="20"/>
          <w:szCs w:val="20"/>
          <w:u w:val="single"/>
        </w:rPr>
      </w:pPr>
      <w:r w:rsidRPr="00FA379D">
        <w:rPr>
          <w:rFonts w:ascii="Arial" w:hAnsi="Arial" w:cs="Arial"/>
          <w:sz w:val="20"/>
          <w:szCs w:val="20"/>
        </w:rPr>
        <w:t>No aplica para el sector paraestatal</w:t>
      </w:r>
    </w:p>
    <w:p w14:paraId="0305CEA0" w14:textId="77777777" w:rsidR="0012493A" w:rsidRPr="00E74967" w:rsidRDefault="0012493A" w:rsidP="00516A8F">
      <w:pPr>
        <w:tabs>
          <w:tab w:val="left" w:leader="underscore" w:pos="9639"/>
        </w:tabs>
        <w:spacing w:after="0" w:line="240" w:lineRule="auto"/>
        <w:jc w:val="both"/>
        <w:rPr>
          <w:rFonts w:cs="Calibri"/>
        </w:rPr>
      </w:pPr>
    </w:p>
    <w:p w14:paraId="08136E94" w14:textId="2B775A1C" w:rsidR="007D1E76" w:rsidRPr="000C3365" w:rsidRDefault="009736CB" w:rsidP="000C3365">
      <w:pPr>
        <w:pStyle w:val="Ttulo2"/>
        <w:rPr>
          <w:rFonts w:asciiTheme="minorHAnsi" w:hAnsiTheme="minorHAnsi" w:cstheme="minorHAnsi"/>
          <w:b/>
          <w:color w:val="auto"/>
          <w:sz w:val="22"/>
        </w:rPr>
      </w:pPr>
      <w:bookmarkStart w:id="16" w:name="_Toc161472868"/>
      <w:r>
        <w:rPr>
          <w:rFonts w:asciiTheme="minorHAnsi" w:hAnsiTheme="minorHAnsi" w:cstheme="minorHAnsi"/>
          <w:b/>
          <w:color w:val="auto"/>
          <w:sz w:val="22"/>
        </w:rPr>
        <w:t>3</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Organización y Objeto Social:</w:t>
      </w:r>
      <w:bookmarkEnd w:id="16"/>
    </w:p>
    <w:p w14:paraId="6C85E52D" w14:textId="77777777" w:rsidR="007D1E76" w:rsidRPr="00E74967" w:rsidRDefault="007D1E76" w:rsidP="00CB41C4">
      <w:pPr>
        <w:tabs>
          <w:tab w:val="left" w:leader="underscore" w:pos="9639"/>
        </w:tabs>
        <w:spacing w:after="0" w:line="240" w:lineRule="auto"/>
        <w:jc w:val="both"/>
        <w:rPr>
          <w:rFonts w:cs="Calibri"/>
        </w:rPr>
      </w:pPr>
    </w:p>
    <w:p w14:paraId="6ADF47E7"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sz w:val="20"/>
          <w:szCs w:val="20"/>
        </w:rPr>
        <w:t>Se informará sobre:</w:t>
      </w:r>
    </w:p>
    <w:p w14:paraId="12D64622"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Objeto social.</w:t>
      </w:r>
    </w:p>
    <w:p w14:paraId="414D3854" w14:textId="77777777" w:rsidR="00065CDB" w:rsidRPr="004E151F" w:rsidRDefault="00065CDB" w:rsidP="00065CDB">
      <w:pPr>
        <w:tabs>
          <w:tab w:val="left" w:leader="underscore" w:pos="9639"/>
        </w:tabs>
        <w:jc w:val="both"/>
        <w:rPr>
          <w:rFonts w:ascii="Arial" w:hAnsi="Arial" w:cs="Arial"/>
          <w:b/>
          <w:sz w:val="20"/>
          <w:szCs w:val="20"/>
        </w:rPr>
      </w:pPr>
      <w:r w:rsidRPr="00FA379D">
        <w:rPr>
          <w:rFonts w:ascii="Arial" w:hAnsi="Arial" w:cs="Arial"/>
          <w:sz w:val="20"/>
          <w:szCs w:val="20"/>
        </w:rPr>
        <w:lastRenderedPageBreak/>
        <w:t>Ser un Instituto que fortalezca la Infraestructura Educativa en el Estado de Guanajuato trabajando en equipo, mediante la correcta administración de los recursos.</w:t>
      </w:r>
    </w:p>
    <w:p w14:paraId="4A76CE46" w14:textId="77777777" w:rsidR="00065CDB" w:rsidRPr="00FA379D" w:rsidRDefault="00065CDB" w:rsidP="00065CDB">
      <w:pPr>
        <w:tabs>
          <w:tab w:val="left" w:leader="underscore" w:pos="9639"/>
        </w:tabs>
        <w:jc w:val="both"/>
        <w:rPr>
          <w:rFonts w:ascii="Arial" w:hAnsi="Arial" w:cs="Arial"/>
          <w:sz w:val="20"/>
          <w:szCs w:val="20"/>
        </w:rPr>
      </w:pPr>
      <w:bookmarkStart w:id="17" w:name="_Hlk53540518"/>
      <w:r w:rsidRPr="00FA379D">
        <w:rPr>
          <w:rFonts w:ascii="Arial" w:hAnsi="Arial" w:cs="Arial"/>
          <w:b/>
          <w:sz w:val="20"/>
          <w:szCs w:val="20"/>
        </w:rPr>
        <w:t>b)</w:t>
      </w:r>
      <w:r w:rsidRPr="00FA379D">
        <w:rPr>
          <w:rFonts w:ascii="Arial" w:hAnsi="Arial" w:cs="Arial"/>
          <w:sz w:val="20"/>
          <w:szCs w:val="20"/>
        </w:rPr>
        <w:t xml:space="preserve"> Principal actividad.</w:t>
      </w:r>
    </w:p>
    <w:p w14:paraId="4AD43283"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sz w:val="20"/>
          <w:szCs w:val="20"/>
        </w:rPr>
        <w:t>El Instituto de Infraestructura Física Educativa de Guanajuato fue creado para llevar a las comunidades del Estado de Guanajuato edificios con mejor calidad para el desarrollo de la educación de los niños, tiene por objeto llevar a cabo la construcción, reconstrucción, reforzamiento, rehabilitación, habilitación, adecuación, mantenimiento y equipamiento de la infraestructura física educativa del estado de Guanajuato. Tiene a su cargo, dentro de la normatividad aplicable, ejecutar por si o a través de terceros, las obras, servicios, instalaciones, equipamiento y demás acciones que comprenden la infraestructura física educativa</w:t>
      </w:r>
    </w:p>
    <w:p w14:paraId="49A2B8AF"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b/>
          <w:sz w:val="20"/>
          <w:szCs w:val="20"/>
        </w:rPr>
        <w:t>c)</w:t>
      </w:r>
      <w:r w:rsidRPr="00FA379D">
        <w:rPr>
          <w:rFonts w:ascii="Arial" w:hAnsi="Arial" w:cs="Arial"/>
          <w:sz w:val="20"/>
          <w:szCs w:val="20"/>
        </w:rPr>
        <w:t xml:space="preserve"> Ejercicio fiscal</w:t>
      </w:r>
    </w:p>
    <w:p w14:paraId="0293FD66" w14:textId="4500F58A"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sz w:val="20"/>
          <w:szCs w:val="20"/>
        </w:rPr>
        <w:t xml:space="preserve">Enero a </w:t>
      </w:r>
      <w:proofErr w:type="gramStart"/>
      <w:r w:rsidRPr="00FA379D">
        <w:rPr>
          <w:rFonts w:ascii="Arial" w:hAnsi="Arial" w:cs="Arial"/>
          <w:sz w:val="20"/>
          <w:szCs w:val="20"/>
        </w:rPr>
        <w:t>Diciembre</w:t>
      </w:r>
      <w:proofErr w:type="gramEnd"/>
      <w:r w:rsidRPr="00FA379D">
        <w:rPr>
          <w:rFonts w:ascii="Arial" w:hAnsi="Arial" w:cs="Arial"/>
          <w:sz w:val="20"/>
          <w:szCs w:val="20"/>
        </w:rPr>
        <w:t xml:space="preserve"> de 202</w:t>
      </w:r>
      <w:r>
        <w:rPr>
          <w:rFonts w:ascii="Arial" w:hAnsi="Arial" w:cs="Arial"/>
          <w:sz w:val="20"/>
          <w:szCs w:val="20"/>
        </w:rPr>
        <w:t>4</w:t>
      </w:r>
      <w:r w:rsidRPr="00FA379D">
        <w:rPr>
          <w:rFonts w:ascii="Arial" w:hAnsi="Arial" w:cs="Arial"/>
          <w:sz w:val="20"/>
          <w:szCs w:val="20"/>
        </w:rPr>
        <w:t>.</w:t>
      </w:r>
    </w:p>
    <w:p w14:paraId="026CF425"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Régimen jurídico</w:t>
      </w:r>
    </w:p>
    <w:p w14:paraId="28DEEADD"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sz w:val="20"/>
          <w:szCs w:val="20"/>
        </w:rPr>
        <w:t>Personas Morales con Fines no Lucrativos.</w:t>
      </w:r>
    </w:p>
    <w:p w14:paraId="0AE4EC56"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sz w:val="20"/>
          <w:szCs w:val="20"/>
        </w:rPr>
        <w:t>Organismo Público descentralizado con personalidad y patrimonio propio</w:t>
      </w:r>
    </w:p>
    <w:p w14:paraId="0B4B5917"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b/>
          <w:sz w:val="20"/>
          <w:szCs w:val="20"/>
        </w:rPr>
        <w:t>e)</w:t>
      </w:r>
      <w:r w:rsidRPr="00FA379D">
        <w:rPr>
          <w:rFonts w:ascii="Arial" w:hAnsi="Arial" w:cs="Arial"/>
          <w:sz w:val="20"/>
          <w:szCs w:val="20"/>
        </w:rPr>
        <w:t xml:space="preserve"> Consideraciones fiscales del ente: Revelar el tipo de contribuciones que esté obligado a pagar o retener.</w:t>
      </w:r>
    </w:p>
    <w:p w14:paraId="64A58385"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sz w:val="20"/>
          <w:szCs w:val="20"/>
        </w:rPr>
        <w:t>*Presentar la declaración anual donde se informe sobre las retenciones de los trabajadores que recibieron sueldos y salarios y trabajadores asimilados a salarios.</w:t>
      </w:r>
    </w:p>
    <w:p w14:paraId="3CB3800D"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sz w:val="20"/>
          <w:szCs w:val="20"/>
        </w:rPr>
        <w:t>* Presentar la declaración y pago provisional mensual de Impuesto Sobre la Renta (ISR) por las retenciones realizadas a los trabajadores asimilados a salarios.</w:t>
      </w:r>
    </w:p>
    <w:p w14:paraId="4D443A6E" w14:textId="77777777" w:rsidR="00065CDB" w:rsidRPr="004E151F" w:rsidRDefault="00065CDB" w:rsidP="00065CDB">
      <w:pPr>
        <w:tabs>
          <w:tab w:val="left" w:leader="underscore" w:pos="9639"/>
        </w:tabs>
        <w:jc w:val="both"/>
        <w:rPr>
          <w:rFonts w:ascii="Arial" w:hAnsi="Arial" w:cs="Arial"/>
          <w:sz w:val="20"/>
          <w:szCs w:val="20"/>
        </w:rPr>
      </w:pPr>
      <w:r w:rsidRPr="00FA379D">
        <w:rPr>
          <w:rFonts w:ascii="Arial" w:hAnsi="Arial" w:cs="Arial"/>
          <w:sz w:val="20"/>
          <w:szCs w:val="20"/>
        </w:rPr>
        <w:t>*Presentar la declaración mensual del Impuesto sobre Nómina.</w:t>
      </w:r>
      <w:bookmarkStart w:id="18" w:name="_Hlk14084660"/>
      <w:bookmarkEnd w:id="17"/>
    </w:p>
    <w:p w14:paraId="4D826148"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b/>
          <w:sz w:val="20"/>
          <w:szCs w:val="20"/>
        </w:rPr>
        <w:t>f)</w:t>
      </w:r>
      <w:r w:rsidRPr="00FA379D">
        <w:rPr>
          <w:rFonts w:ascii="Arial" w:hAnsi="Arial" w:cs="Arial"/>
          <w:sz w:val="20"/>
          <w:szCs w:val="20"/>
        </w:rPr>
        <w:t xml:space="preserve"> Estructura organizacional básica.</w:t>
      </w:r>
    </w:p>
    <w:p w14:paraId="437B12F6" w14:textId="03805608" w:rsidR="00065CDB" w:rsidRPr="00FA379D" w:rsidRDefault="00065CDB" w:rsidP="00065CDB">
      <w:pPr>
        <w:tabs>
          <w:tab w:val="left" w:leader="underscore" w:pos="9639"/>
        </w:tabs>
        <w:jc w:val="both"/>
        <w:rPr>
          <w:rFonts w:ascii="Arial" w:hAnsi="Arial" w:cs="Arial"/>
          <w:sz w:val="20"/>
          <w:szCs w:val="20"/>
        </w:rPr>
      </w:pPr>
      <w:bookmarkStart w:id="19" w:name="_Hlk37984969"/>
      <w:bookmarkStart w:id="20" w:name="_Hlk22045151"/>
      <w:bookmarkStart w:id="21" w:name="_Hlk69711750"/>
      <w:bookmarkStart w:id="22" w:name="_Hlk85201787"/>
      <w:bookmarkEnd w:id="18"/>
      <w:r w:rsidRPr="00FA379D">
        <w:rPr>
          <w:rFonts w:ascii="Arial" w:hAnsi="Arial" w:cs="Arial"/>
          <w:sz w:val="20"/>
          <w:szCs w:val="20"/>
        </w:rPr>
        <w:t xml:space="preserve">El </w:t>
      </w:r>
      <w:r w:rsidRPr="00FA379D">
        <w:rPr>
          <w:rFonts w:ascii="Arial" w:hAnsi="Arial" w:cs="Arial"/>
          <w:b/>
          <w:bCs/>
          <w:color w:val="000000"/>
          <w:sz w:val="20"/>
          <w:szCs w:val="20"/>
          <w:lang w:eastAsia="es-MX"/>
        </w:rPr>
        <w:t>Instituto de Infraestructura Física Educativa de Guanajuato</w:t>
      </w:r>
      <w:r w:rsidRPr="00FA379D">
        <w:rPr>
          <w:rFonts w:ascii="Arial" w:hAnsi="Arial" w:cs="Arial"/>
          <w:color w:val="000000"/>
          <w:sz w:val="20"/>
          <w:szCs w:val="20"/>
          <w:lang w:eastAsia="es-MX"/>
        </w:rPr>
        <w:t xml:space="preserve">, no tiene una estructura organizacional básica, en el periodo </w:t>
      </w:r>
      <w:r w:rsidRPr="00FA379D">
        <w:rPr>
          <w:rFonts w:ascii="Arial" w:hAnsi="Arial" w:cs="Arial"/>
          <w:i/>
          <w:iCs/>
          <w:color w:val="000000"/>
          <w:sz w:val="20"/>
          <w:szCs w:val="20"/>
          <w:lang w:eastAsia="es-MX"/>
        </w:rPr>
        <w:t xml:space="preserve">Enero - </w:t>
      </w:r>
      <w:proofErr w:type="gramStart"/>
      <w:r w:rsidRPr="00FA379D">
        <w:rPr>
          <w:rFonts w:ascii="Arial" w:hAnsi="Arial" w:cs="Arial"/>
          <w:i/>
          <w:iCs/>
          <w:color w:val="000000"/>
          <w:sz w:val="20"/>
          <w:szCs w:val="20"/>
          <w:lang w:eastAsia="es-MX"/>
        </w:rPr>
        <w:t>Diciembre</w:t>
      </w:r>
      <w:proofErr w:type="gramEnd"/>
      <w:r w:rsidRPr="00FA379D">
        <w:rPr>
          <w:rFonts w:ascii="Arial" w:hAnsi="Arial" w:cs="Arial"/>
          <w:i/>
          <w:iCs/>
          <w:color w:val="000000"/>
          <w:sz w:val="20"/>
          <w:szCs w:val="20"/>
          <w:lang w:eastAsia="es-MX"/>
        </w:rPr>
        <w:t xml:space="preserve"> 202</w:t>
      </w:r>
      <w:r>
        <w:rPr>
          <w:rFonts w:ascii="Arial" w:hAnsi="Arial" w:cs="Arial"/>
          <w:i/>
          <w:iCs/>
          <w:color w:val="000000"/>
          <w:sz w:val="20"/>
          <w:szCs w:val="20"/>
          <w:lang w:eastAsia="es-MX"/>
        </w:rPr>
        <w:t>4</w:t>
      </w:r>
      <w:r w:rsidRPr="00FA379D">
        <w:rPr>
          <w:rFonts w:ascii="Arial" w:hAnsi="Arial" w:cs="Arial"/>
          <w:color w:val="000000"/>
          <w:sz w:val="20"/>
          <w:szCs w:val="20"/>
          <w:lang w:eastAsia="es-MX"/>
        </w:rPr>
        <w:t>, en virtud del comienzo del proceso de extinción del Ente, en referencia al Decreto número 6 publicado en el Periódico Oficial del Gobierno del Estado de Guanajuato número 233 Segunda Parte de fecha 23 de noviembre 2021</w:t>
      </w:r>
    </w:p>
    <w:p w14:paraId="63934626"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b/>
          <w:sz w:val="20"/>
          <w:szCs w:val="20"/>
        </w:rPr>
        <w:t>g)</w:t>
      </w:r>
      <w:r w:rsidRPr="00FA379D">
        <w:rPr>
          <w:rFonts w:ascii="Arial" w:hAnsi="Arial" w:cs="Arial"/>
          <w:sz w:val="20"/>
          <w:szCs w:val="20"/>
        </w:rPr>
        <w:t xml:space="preserve"> Fideicomisos, mandatos y análogos de los cuales es fideicomitente o fideicomisario</w:t>
      </w:r>
    </w:p>
    <w:p w14:paraId="23F71764" w14:textId="77777777" w:rsidR="00065CDB" w:rsidRPr="004E151F" w:rsidRDefault="00065CDB" w:rsidP="00065CDB">
      <w:pPr>
        <w:jc w:val="both"/>
        <w:rPr>
          <w:rFonts w:ascii="Arial" w:hAnsi="Arial" w:cs="Arial"/>
          <w:color w:val="000000"/>
          <w:sz w:val="20"/>
          <w:szCs w:val="20"/>
          <w:lang w:eastAsia="es-MX"/>
        </w:rPr>
      </w:pPr>
      <w:r w:rsidRPr="00FA379D">
        <w:rPr>
          <w:rFonts w:ascii="Arial" w:hAnsi="Arial" w:cs="Arial"/>
          <w:color w:val="000000"/>
          <w:sz w:val="20"/>
          <w:szCs w:val="20"/>
          <w:lang w:eastAsia="es-MX"/>
        </w:rPr>
        <w:t>Este Instituto de Infraestructura Física Educativa de Guanajuato no cuenta con Fideicomisos</w:t>
      </w:r>
      <w:bookmarkEnd w:id="19"/>
      <w:bookmarkEnd w:id="20"/>
      <w:bookmarkEnd w:id="21"/>
    </w:p>
    <w:bookmarkEnd w:id="22"/>
    <w:p w14:paraId="642A4B90" w14:textId="77777777" w:rsidR="00CB41C4" w:rsidRPr="00E74967" w:rsidRDefault="00CB41C4" w:rsidP="00CB41C4">
      <w:pPr>
        <w:tabs>
          <w:tab w:val="left" w:leader="underscore" w:pos="9639"/>
        </w:tabs>
        <w:spacing w:after="0" w:line="240" w:lineRule="auto"/>
        <w:jc w:val="both"/>
        <w:rPr>
          <w:rFonts w:cs="Calibri"/>
        </w:rPr>
      </w:pPr>
    </w:p>
    <w:p w14:paraId="12E280BB" w14:textId="61B6566F" w:rsidR="007D1E76" w:rsidRPr="000C3365" w:rsidRDefault="006F77A8" w:rsidP="000C3365">
      <w:pPr>
        <w:pStyle w:val="Ttulo2"/>
        <w:rPr>
          <w:rFonts w:asciiTheme="minorHAnsi" w:hAnsiTheme="minorHAnsi" w:cstheme="minorHAnsi"/>
          <w:b/>
          <w:color w:val="auto"/>
          <w:sz w:val="22"/>
        </w:rPr>
      </w:pPr>
      <w:bookmarkStart w:id="23" w:name="_Toc161472869"/>
      <w:r>
        <w:rPr>
          <w:rFonts w:asciiTheme="minorHAnsi" w:hAnsiTheme="minorHAnsi" w:cstheme="minorHAnsi"/>
          <w:b/>
          <w:color w:val="auto"/>
          <w:sz w:val="22"/>
        </w:rPr>
        <w:t>4</w:t>
      </w:r>
      <w:r w:rsidR="007D1E76" w:rsidRPr="000C3365">
        <w:rPr>
          <w:rFonts w:asciiTheme="minorHAnsi" w:hAnsiTheme="minorHAnsi" w:cstheme="minorHAnsi"/>
          <w:b/>
          <w:color w:val="auto"/>
          <w:sz w:val="22"/>
        </w:rPr>
        <w:t>. Bases de Preparació</w:t>
      </w:r>
      <w:r w:rsidR="00E00323" w:rsidRPr="000C3365">
        <w:rPr>
          <w:rFonts w:asciiTheme="minorHAnsi" w:hAnsiTheme="minorHAnsi" w:cstheme="minorHAnsi"/>
          <w:b/>
          <w:color w:val="auto"/>
          <w:sz w:val="22"/>
        </w:rPr>
        <w:t>n de los Estados Financieros:</w:t>
      </w:r>
      <w:bookmarkEnd w:id="23"/>
    </w:p>
    <w:p w14:paraId="7E45ED9B" w14:textId="77777777" w:rsidR="00065CDB" w:rsidRPr="00FA379D" w:rsidRDefault="00065CDB" w:rsidP="00065CDB">
      <w:pPr>
        <w:tabs>
          <w:tab w:val="left" w:leader="underscore" w:pos="9639"/>
        </w:tabs>
        <w:jc w:val="both"/>
        <w:rPr>
          <w:rFonts w:ascii="Arial" w:hAnsi="Arial" w:cs="Arial"/>
          <w:sz w:val="20"/>
          <w:szCs w:val="20"/>
        </w:rPr>
      </w:pPr>
      <w:bookmarkStart w:id="24" w:name="_Toc161472870"/>
      <w:r w:rsidRPr="00FA379D">
        <w:rPr>
          <w:rFonts w:ascii="Arial" w:hAnsi="Arial" w:cs="Arial"/>
          <w:sz w:val="20"/>
          <w:szCs w:val="20"/>
        </w:rPr>
        <w:t>Se informará sobre:</w:t>
      </w:r>
    </w:p>
    <w:p w14:paraId="5BB943D9"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Si se ha observado la normatividad emitida por el CONAC y las disposiciones legales aplicables.</w:t>
      </w:r>
    </w:p>
    <w:p w14:paraId="6D6CD570"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sz w:val="20"/>
          <w:szCs w:val="20"/>
        </w:rPr>
        <w:t>Las Bases de Preparación de los Estados Financieros observan en cierta medida la normatividad emitida por el CONAC y las disposiciones legales aplicables.</w:t>
      </w:r>
    </w:p>
    <w:p w14:paraId="03452253" w14:textId="77777777" w:rsidR="00065CDB" w:rsidRPr="00FA379D" w:rsidRDefault="00065CDB" w:rsidP="00065CDB">
      <w:pPr>
        <w:tabs>
          <w:tab w:val="left" w:leader="underscore" w:pos="9639"/>
        </w:tabs>
        <w:jc w:val="both"/>
        <w:rPr>
          <w:rFonts w:ascii="Arial" w:hAnsi="Arial" w:cs="Arial"/>
          <w:sz w:val="20"/>
          <w:szCs w:val="20"/>
        </w:rPr>
      </w:pPr>
      <w:bookmarkStart w:id="25" w:name="_Hlk125634357"/>
      <w:bookmarkStart w:id="26" w:name="_Hlk14084876"/>
      <w:bookmarkStart w:id="27" w:name="_Hlk30594675"/>
      <w:r w:rsidRPr="00FA379D">
        <w:rPr>
          <w:rFonts w:ascii="Arial" w:hAnsi="Arial" w:cs="Arial"/>
          <w:b/>
          <w:sz w:val="20"/>
          <w:szCs w:val="20"/>
        </w:rPr>
        <w:lastRenderedPageBreak/>
        <w:t>b)</w:t>
      </w:r>
      <w:r w:rsidRPr="00FA379D">
        <w:rPr>
          <w:rFonts w:ascii="Arial" w:hAnsi="Arial" w:cs="Arial"/>
          <w:sz w:val="20"/>
          <w:szCs w:val="20"/>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w:t>
      </w:r>
      <w:proofErr w:type="gramStart"/>
      <w:r w:rsidRPr="00FA379D">
        <w:rPr>
          <w:rFonts w:ascii="Arial" w:hAnsi="Arial" w:cs="Arial"/>
          <w:sz w:val="20"/>
          <w:szCs w:val="20"/>
        </w:rPr>
        <w:t>los mismos</w:t>
      </w:r>
      <w:proofErr w:type="gramEnd"/>
      <w:r w:rsidRPr="00FA379D">
        <w:rPr>
          <w:rFonts w:ascii="Arial" w:hAnsi="Arial" w:cs="Arial"/>
          <w:sz w:val="20"/>
          <w:szCs w:val="20"/>
        </w:rPr>
        <w:t>.</w:t>
      </w:r>
    </w:p>
    <w:p w14:paraId="0E428EB7" w14:textId="77777777" w:rsidR="00065CDB" w:rsidRPr="004E151F" w:rsidRDefault="00065CDB" w:rsidP="00065CDB">
      <w:pPr>
        <w:tabs>
          <w:tab w:val="left" w:leader="underscore" w:pos="9639"/>
        </w:tabs>
        <w:jc w:val="both"/>
        <w:rPr>
          <w:rFonts w:ascii="Arial" w:hAnsi="Arial" w:cs="Arial"/>
          <w:sz w:val="20"/>
          <w:szCs w:val="20"/>
        </w:rPr>
      </w:pPr>
      <w:r w:rsidRPr="00FA379D">
        <w:rPr>
          <w:rFonts w:ascii="Arial" w:hAnsi="Arial" w:cs="Arial"/>
          <w:sz w:val="20"/>
          <w:szCs w:val="20"/>
        </w:rPr>
        <w:t xml:space="preserve">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w:t>
      </w:r>
      <w:proofErr w:type="gramStart"/>
      <w:r w:rsidRPr="00FA379D">
        <w:rPr>
          <w:rFonts w:ascii="Arial" w:hAnsi="Arial" w:cs="Arial"/>
          <w:sz w:val="20"/>
          <w:szCs w:val="20"/>
        </w:rPr>
        <w:t>los mismos</w:t>
      </w:r>
      <w:proofErr w:type="gramEnd"/>
      <w:r w:rsidRPr="00FA379D">
        <w:rPr>
          <w:rFonts w:ascii="Arial" w:hAnsi="Arial" w:cs="Arial"/>
          <w:sz w:val="20"/>
          <w:szCs w:val="20"/>
        </w:rPr>
        <w:t>.</w:t>
      </w:r>
      <w:bookmarkStart w:id="28" w:name="_Hlk6143307"/>
    </w:p>
    <w:p w14:paraId="2A69BDAE" w14:textId="77777777" w:rsidR="00065CDB" w:rsidRPr="00FA379D" w:rsidRDefault="00065CDB" w:rsidP="00065CDB">
      <w:pPr>
        <w:tabs>
          <w:tab w:val="left" w:leader="underscore" w:pos="9639"/>
        </w:tabs>
        <w:jc w:val="both"/>
        <w:rPr>
          <w:rFonts w:ascii="Arial" w:hAnsi="Arial" w:cs="Arial"/>
          <w:sz w:val="20"/>
          <w:szCs w:val="20"/>
        </w:rPr>
      </w:pPr>
      <w:bookmarkStart w:id="29" w:name="_Hlk22045332"/>
      <w:r w:rsidRPr="00FA379D">
        <w:rPr>
          <w:rFonts w:ascii="Arial" w:hAnsi="Arial" w:cs="Arial"/>
          <w:b/>
          <w:sz w:val="20"/>
          <w:szCs w:val="20"/>
        </w:rPr>
        <w:t>c)</w:t>
      </w:r>
      <w:r w:rsidRPr="00FA379D">
        <w:rPr>
          <w:rFonts w:ascii="Arial" w:hAnsi="Arial" w:cs="Arial"/>
          <w:sz w:val="20"/>
          <w:szCs w:val="20"/>
        </w:rPr>
        <w:t xml:space="preserve"> Postulados básicos.</w:t>
      </w:r>
    </w:p>
    <w:p w14:paraId="359E735C"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p>
    <w:p w14:paraId="1ABC5E46"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477972B4"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aplica normatividad supletoria.</w:t>
      </w:r>
    </w:p>
    <w:p w14:paraId="193243FA" w14:textId="77777777" w:rsidR="00065CDB" w:rsidRPr="00FA379D" w:rsidRDefault="00065CDB" w:rsidP="00065CDB">
      <w:pPr>
        <w:tabs>
          <w:tab w:val="left" w:leader="underscore" w:pos="9639"/>
        </w:tabs>
        <w:jc w:val="both"/>
        <w:rPr>
          <w:rFonts w:ascii="Arial" w:hAnsi="Arial" w:cs="Arial"/>
          <w:sz w:val="20"/>
          <w:szCs w:val="20"/>
        </w:rPr>
      </w:pPr>
    </w:p>
    <w:p w14:paraId="38668678" w14:textId="77777777" w:rsidR="00065CDB" w:rsidRPr="00FA379D" w:rsidRDefault="00065CDB" w:rsidP="00065CDB">
      <w:pPr>
        <w:tabs>
          <w:tab w:val="left" w:leader="underscore" w:pos="9639"/>
        </w:tabs>
        <w:jc w:val="both"/>
        <w:rPr>
          <w:rFonts w:ascii="Arial" w:hAnsi="Arial" w:cs="Arial"/>
          <w:sz w:val="20"/>
          <w:szCs w:val="20"/>
        </w:rPr>
      </w:pPr>
    </w:p>
    <w:p w14:paraId="5041695B"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b/>
          <w:sz w:val="20"/>
          <w:szCs w:val="20"/>
        </w:rPr>
        <w:t>e)</w:t>
      </w:r>
      <w:r w:rsidRPr="00FA379D">
        <w:rPr>
          <w:rFonts w:ascii="Arial" w:hAnsi="Arial" w:cs="Arial"/>
          <w:sz w:val="20"/>
          <w:szCs w:val="20"/>
        </w:rPr>
        <w:t xml:space="preserve"> Para las entidades que por primera vez estén implementando el base devengado </w:t>
      </w:r>
      <w:proofErr w:type="gramStart"/>
      <w:r w:rsidRPr="00FA379D">
        <w:rPr>
          <w:rFonts w:ascii="Arial" w:hAnsi="Arial" w:cs="Arial"/>
          <w:sz w:val="20"/>
          <w:szCs w:val="20"/>
        </w:rPr>
        <w:t>de acuerdo a</w:t>
      </w:r>
      <w:proofErr w:type="gramEnd"/>
      <w:r w:rsidRPr="00FA379D">
        <w:rPr>
          <w:rFonts w:ascii="Arial" w:hAnsi="Arial" w:cs="Arial"/>
          <w:sz w:val="20"/>
          <w:szCs w:val="20"/>
        </w:rPr>
        <w:t xml:space="preserve"> la Ley de Contabilidad, deberán:</w:t>
      </w:r>
    </w:p>
    <w:p w14:paraId="7873B800"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sz w:val="20"/>
          <w:szCs w:val="20"/>
        </w:rPr>
        <w:t>*Revelar las nuevas políticas de reconocimiento:</w:t>
      </w:r>
    </w:p>
    <w:p w14:paraId="0A66C014"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sz w:val="20"/>
          <w:szCs w:val="20"/>
        </w:rPr>
        <w:t xml:space="preserve">Este instituto ha venido utilizando la base del devengado desde la implementación </w:t>
      </w:r>
      <w:proofErr w:type="gramStart"/>
      <w:r w:rsidRPr="00FA379D">
        <w:rPr>
          <w:rFonts w:ascii="Arial" w:hAnsi="Arial" w:cs="Arial"/>
          <w:sz w:val="20"/>
          <w:szCs w:val="20"/>
        </w:rPr>
        <w:t>del mismo</w:t>
      </w:r>
      <w:proofErr w:type="gramEnd"/>
      <w:r w:rsidRPr="00FA379D">
        <w:rPr>
          <w:rFonts w:ascii="Arial" w:hAnsi="Arial" w:cs="Arial"/>
          <w:sz w:val="20"/>
          <w:szCs w:val="20"/>
        </w:rPr>
        <w:t xml:space="preserve">, por parte de las reglas emitidas por el CONAC y en conjunto con las recomendaciones y modificaciones a los registros contables solicitadas por la </w:t>
      </w:r>
      <w:proofErr w:type="spellStart"/>
      <w:r w:rsidRPr="00FA379D">
        <w:rPr>
          <w:rFonts w:ascii="Arial" w:hAnsi="Arial" w:cs="Arial"/>
          <w:sz w:val="20"/>
          <w:szCs w:val="20"/>
        </w:rPr>
        <w:t>SFIyA</w:t>
      </w:r>
      <w:proofErr w:type="spellEnd"/>
      <w:r w:rsidRPr="00FA379D">
        <w:rPr>
          <w:rFonts w:ascii="Arial" w:hAnsi="Arial" w:cs="Arial"/>
          <w:sz w:val="20"/>
          <w:szCs w:val="20"/>
        </w:rPr>
        <w:t>.</w:t>
      </w:r>
      <w:bookmarkEnd w:id="25"/>
    </w:p>
    <w:p w14:paraId="22E37E48"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sz w:val="20"/>
          <w:szCs w:val="20"/>
        </w:rPr>
        <w:t>*Plan de implementación:</w:t>
      </w:r>
    </w:p>
    <w:bookmarkEnd w:id="26"/>
    <w:p w14:paraId="7C6685D5" w14:textId="77777777" w:rsidR="00C86CBA" w:rsidRDefault="00C86CBA" w:rsidP="00065CDB">
      <w:pPr>
        <w:tabs>
          <w:tab w:val="left" w:leader="underscore" w:pos="9639"/>
        </w:tabs>
        <w:jc w:val="both"/>
        <w:rPr>
          <w:rFonts w:ascii="Arial" w:hAnsi="Arial" w:cs="Arial"/>
          <w:sz w:val="20"/>
          <w:szCs w:val="20"/>
        </w:rPr>
      </w:pPr>
      <w:r w:rsidRPr="00C86CBA">
        <w:rPr>
          <w:rFonts w:ascii="Arial" w:hAnsi="Arial" w:cs="Arial"/>
          <w:sz w:val="20"/>
          <w:szCs w:val="20"/>
        </w:rPr>
        <w:t xml:space="preserve">“Esta nota no le aplica al ente público” </w:t>
      </w:r>
    </w:p>
    <w:p w14:paraId="4E3D9D37" w14:textId="77A1271D"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sz w:val="20"/>
          <w:szCs w:val="20"/>
        </w:rPr>
        <w:t xml:space="preserve">*Revelar los cambios en las políticas, la clasificación y medición de </w:t>
      </w:r>
      <w:proofErr w:type="gramStart"/>
      <w:r w:rsidRPr="00FA379D">
        <w:rPr>
          <w:rFonts w:ascii="Arial" w:hAnsi="Arial" w:cs="Arial"/>
          <w:sz w:val="20"/>
          <w:szCs w:val="20"/>
        </w:rPr>
        <w:t>las mismas</w:t>
      </w:r>
      <w:proofErr w:type="gramEnd"/>
      <w:r w:rsidRPr="00FA379D">
        <w:rPr>
          <w:rFonts w:ascii="Arial" w:hAnsi="Arial" w:cs="Arial"/>
          <w:sz w:val="20"/>
          <w:szCs w:val="20"/>
        </w:rPr>
        <w:t>, así como su impacto en la información financiera:</w:t>
      </w:r>
    </w:p>
    <w:p w14:paraId="2CC5288A"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sz w:val="20"/>
          <w:szCs w:val="20"/>
        </w:rPr>
        <w:t>Firmar los EEFF de los ODES solicitados por el CONAC publicados en el DOF y PO.</w:t>
      </w:r>
    </w:p>
    <w:p w14:paraId="22B0FCA4" w14:textId="77777777" w:rsidR="00065CDB" w:rsidRPr="00FA379D" w:rsidRDefault="00065CDB" w:rsidP="00065CDB">
      <w:pPr>
        <w:tabs>
          <w:tab w:val="left" w:leader="underscore" w:pos="9639"/>
        </w:tabs>
        <w:jc w:val="both"/>
        <w:rPr>
          <w:rFonts w:ascii="Arial" w:hAnsi="Arial" w:cs="Arial"/>
          <w:sz w:val="20"/>
          <w:szCs w:val="20"/>
        </w:rPr>
      </w:pPr>
      <w:r w:rsidRPr="00FA379D">
        <w:rPr>
          <w:rFonts w:ascii="Arial" w:hAnsi="Arial" w:cs="Arial"/>
          <w:sz w:val="20"/>
          <w:szCs w:val="20"/>
        </w:rPr>
        <w:t xml:space="preserve">Presentar los últimos estados financieros con la normatividad anteriormente utilizada con las nuevas políticas para fines de comparación en la transición </w:t>
      </w:r>
      <w:proofErr w:type="gramStart"/>
      <w:r w:rsidRPr="00FA379D">
        <w:rPr>
          <w:rFonts w:ascii="Arial" w:hAnsi="Arial" w:cs="Arial"/>
          <w:sz w:val="20"/>
          <w:szCs w:val="20"/>
        </w:rPr>
        <w:t>a la base devengado</w:t>
      </w:r>
      <w:proofErr w:type="gramEnd"/>
      <w:r w:rsidRPr="00FA379D">
        <w:rPr>
          <w:rFonts w:ascii="Arial" w:hAnsi="Arial" w:cs="Arial"/>
          <w:sz w:val="20"/>
          <w:szCs w:val="20"/>
        </w:rPr>
        <w:t>.</w:t>
      </w:r>
      <w:bookmarkEnd w:id="27"/>
      <w:bookmarkEnd w:id="28"/>
      <w:bookmarkEnd w:id="29"/>
    </w:p>
    <w:p w14:paraId="7025E7E0" w14:textId="4C87F38F" w:rsidR="007D1E76" w:rsidRPr="00E74967" w:rsidRDefault="007F699D" w:rsidP="000C3365">
      <w:pPr>
        <w:pStyle w:val="Ttulo2"/>
        <w:rPr>
          <w:rFonts w:cs="Calibri"/>
          <w:b/>
        </w:rPr>
      </w:pPr>
      <w:r>
        <w:rPr>
          <w:rFonts w:asciiTheme="minorHAnsi" w:hAnsiTheme="minorHAnsi" w:cstheme="minorHAnsi"/>
          <w:b/>
          <w:color w:val="auto"/>
          <w:sz w:val="22"/>
        </w:rPr>
        <w:t>5</w:t>
      </w:r>
      <w:r w:rsidR="007D1E76" w:rsidRPr="000C3365">
        <w:rPr>
          <w:rFonts w:asciiTheme="minorHAnsi" w:hAnsiTheme="minorHAnsi" w:cstheme="minorHAnsi"/>
          <w:b/>
          <w:color w:val="auto"/>
          <w:sz w:val="22"/>
        </w:rPr>
        <w:t>. Políticas de</w:t>
      </w:r>
      <w:r w:rsidR="00E00323" w:rsidRPr="000C3365">
        <w:rPr>
          <w:rFonts w:asciiTheme="minorHAnsi" w:hAnsiTheme="minorHAnsi" w:cstheme="minorHAnsi"/>
          <w:b/>
          <w:color w:val="auto"/>
          <w:sz w:val="22"/>
        </w:rPr>
        <w:t xml:space="preserve"> Contabilidad Significativas:</w:t>
      </w:r>
      <w:bookmarkEnd w:id="24"/>
    </w:p>
    <w:p w14:paraId="41EB4634" w14:textId="77777777"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sz w:val="20"/>
          <w:szCs w:val="20"/>
        </w:rPr>
        <w:t>Se informará sobre:</w:t>
      </w:r>
    </w:p>
    <w:p w14:paraId="79F10C0F" w14:textId="77777777"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b/>
          <w:sz w:val="20"/>
          <w:szCs w:val="20"/>
        </w:rPr>
        <w:lastRenderedPageBreak/>
        <w:t>a)</w:t>
      </w:r>
      <w:r w:rsidRPr="00FA379D">
        <w:rPr>
          <w:rFonts w:ascii="Arial" w:hAnsi="Arial" w:cs="Arial"/>
          <w:sz w:val="20"/>
          <w:szCs w:val="20"/>
        </w:rPr>
        <w:t xml:space="preserve"> Actualización: se informará del método utilizado para la actualización del valor de los activos, pasivos y Hacienda Pública/Patrimonio y las razones de dicha elección. Así como informar de la desconexión o reconexión inflacionaria:</w:t>
      </w:r>
    </w:p>
    <w:p w14:paraId="2F688D1E" w14:textId="77777777" w:rsidR="00E94C37" w:rsidRPr="00FA379D" w:rsidRDefault="00E94C37" w:rsidP="00E94C37">
      <w:pPr>
        <w:tabs>
          <w:tab w:val="left" w:leader="underscore" w:pos="9639"/>
        </w:tabs>
        <w:jc w:val="both"/>
        <w:rPr>
          <w:rFonts w:ascii="Arial" w:hAnsi="Arial" w:cs="Arial"/>
          <w:sz w:val="20"/>
          <w:szCs w:val="20"/>
        </w:rPr>
      </w:pPr>
      <w:bookmarkStart w:id="30" w:name="_Hlk53540772"/>
      <w:r w:rsidRPr="00FA379D">
        <w:rPr>
          <w:rFonts w:ascii="Arial" w:hAnsi="Arial" w:cs="Arial"/>
          <w:sz w:val="20"/>
          <w:szCs w:val="20"/>
        </w:rPr>
        <w:t>Valor Histórico</w:t>
      </w:r>
    </w:p>
    <w:p w14:paraId="58FA8081" w14:textId="77777777"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Informar sobre la realización de operaciones en el extranjero y de sus efectos en la información financiera gubernamental:</w:t>
      </w:r>
    </w:p>
    <w:p w14:paraId="1D20AF14" w14:textId="77777777"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realiza operaciones en el extranjero.</w:t>
      </w:r>
    </w:p>
    <w:p w14:paraId="09E9606B" w14:textId="77777777" w:rsidR="00E94C37" w:rsidRPr="00FA379D" w:rsidRDefault="00E94C37" w:rsidP="00E94C37">
      <w:pPr>
        <w:tabs>
          <w:tab w:val="left" w:leader="underscore" w:pos="9639"/>
        </w:tabs>
        <w:jc w:val="both"/>
        <w:rPr>
          <w:rFonts w:ascii="Arial" w:hAnsi="Arial" w:cs="Arial"/>
          <w:sz w:val="20"/>
          <w:szCs w:val="20"/>
        </w:rPr>
      </w:pPr>
      <w:bookmarkStart w:id="31" w:name="_Hlk45506189"/>
      <w:r w:rsidRPr="00FA379D">
        <w:rPr>
          <w:rFonts w:ascii="Arial" w:hAnsi="Arial" w:cs="Arial"/>
          <w:b/>
          <w:sz w:val="20"/>
          <w:szCs w:val="20"/>
        </w:rPr>
        <w:t>c)</w:t>
      </w:r>
      <w:r w:rsidRPr="00FA379D">
        <w:rPr>
          <w:rFonts w:ascii="Arial" w:hAnsi="Arial" w:cs="Arial"/>
          <w:sz w:val="20"/>
          <w:szCs w:val="20"/>
        </w:rPr>
        <w:t xml:space="preserve"> Método de valuación de la inversión en acciones de Compañías subsidiarias no consolidadas y asociadas:</w:t>
      </w:r>
    </w:p>
    <w:p w14:paraId="5924ADA7" w14:textId="77777777"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cuenta con dichas acciones.</w:t>
      </w:r>
    </w:p>
    <w:p w14:paraId="6F26D621" w14:textId="77777777"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Sistema y método de valuación de inventarios y costo de lo vendido:</w:t>
      </w:r>
    </w:p>
    <w:p w14:paraId="3E44EA62" w14:textId="77777777" w:rsidR="00FB26C7" w:rsidRDefault="00FB26C7" w:rsidP="00E94C37">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3141302E" w14:textId="444C4D79"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b/>
          <w:sz w:val="20"/>
          <w:szCs w:val="20"/>
        </w:rPr>
        <w:t>e)</w:t>
      </w:r>
      <w:r w:rsidRPr="00FA379D">
        <w:rPr>
          <w:rFonts w:ascii="Arial" w:hAnsi="Arial" w:cs="Arial"/>
          <w:sz w:val="20"/>
          <w:szCs w:val="20"/>
        </w:rPr>
        <w:t xml:space="preserve"> Beneficios a empleados: revelar el cálculo de la reserva actuarial, valor presente de los ingresos esperados comparado con el valor presente de la estimación de gastos tanto de los beneficiarios actuales como futuros:</w:t>
      </w:r>
    </w:p>
    <w:p w14:paraId="06C0DD84" w14:textId="77777777" w:rsidR="00FB26C7" w:rsidRDefault="00FB26C7" w:rsidP="00E94C37">
      <w:pPr>
        <w:tabs>
          <w:tab w:val="left" w:leader="underscore" w:pos="9639"/>
        </w:tabs>
        <w:jc w:val="both"/>
        <w:rPr>
          <w:rFonts w:ascii="Arial" w:hAnsi="Arial" w:cs="Arial"/>
          <w:sz w:val="20"/>
          <w:szCs w:val="20"/>
        </w:rPr>
      </w:pPr>
      <w:bookmarkStart w:id="32" w:name="_Hlk85201881"/>
      <w:r w:rsidRPr="00FB26C7">
        <w:rPr>
          <w:rFonts w:ascii="Arial" w:hAnsi="Arial" w:cs="Arial"/>
          <w:sz w:val="20"/>
          <w:szCs w:val="20"/>
        </w:rPr>
        <w:t xml:space="preserve">“Esta nota no le aplica al ente público” </w:t>
      </w:r>
    </w:p>
    <w:p w14:paraId="78D66EC9" w14:textId="6673E263"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b/>
          <w:sz w:val="20"/>
          <w:szCs w:val="20"/>
        </w:rPr>
        <w:t>f)</w:t>
      </w:r>
      <w:r w:rsidRPr="00FA379D">
        <w:rPr>
          <w:rFonts w:ascii="Arial" w:hAnsi="Arial" w:cs="Arial"/>
          <w:sz w:val="20"/>
          <w:szCs w:val="20"/>
        </w:rPr>
        <w:t xml:space="preserve"> Provisiones: objetivo de su creación, monto y plazo:</w:t>
      </w:r>
    </w:p>
    <w:p w14:paraId="5565009E" w14:textId="77777777" w:rsidR="00E94C37" w:rsidRPr="004E151F" w:rsidRDefault="00E94C37" w:rsidP="00E94C37">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cuenta con provisiones.</w:t>
      </w:r>
    </w:p>
    <w:p w14:paraId="1ED580F2" w14:textId="77777777" w:rsidR="00E94C37" w:rsidRPr="00FA379D" w:rsidRDefault="00E94C37" w:rsidP="00E94C37">
      <w:pPr>
        <w:tabs>
          <w:tab w:val="left" w:leader="underscore" w:pos="9639"/>
        </w:tabs>
        <w:jc w:val="both"/>
        <w:rPr>
          <w:rFonts w:ascii="Arial" w:hAnsi="Arial" w:cs="Arial"/>
          <w:sz w:val="20"/>
          <w:szCs w:val="20"/>
        </w:rPr>
      </w:pPr>
      <w:bookmarkStart w:id="33" w:name="_Hlk14084939"/>
      <w:r w:rsidRPr="00FA379D">
        <w:rPr>
          <w:rFonts w:ascii="Arial" w:hAnsi="Arial" w:cs="Arial"/>
          <w:b/>
          <w:sz w:val="20"/>
          <w:szCs w:val="20"/>
        </w:rPr>
        <w:t>g)</w:t>
      </w:r>
      <w:r w:rsidRPr="00FA379D">
        <w:rPr>
          <w:rFonts w:ascii="Arial" w:hAnsi="Arial" w:cs="Arial"/>
          <w:sz w:val="20"/>
          <w:szCs w:val="20"/>
        </w:rPr>
        <w:t xml:space="preserve"> Reservas: objetivo de su creación, monto y plazo:</w:t>
      </w:r>
    </w:p>
    <w:p w14:paraId="7FC08BB1" w14:textId="77777777" w:rsidR="00E94C37" w:rsidRPr="00FA379D" w:rsidRDefault="00E94C37" w:rsidP="00E94C37">
      <w:pPr>
        <w:tabs>
          <w:tab w:val="left" w:leader="underscore" w:pos="9639"/>
        </w:tabs>
        <w:jc w:val="both"/>
        <w:rPr>
          <w:rFonts w:ascii="Arial" w:hAnsi="Arial" w:cs="Arial"/>
          <w:sz w:val="20"/>
          <w:szCs w:val="20"/>
        </w:rPr>
      </w:pPr>
    </w:p>
    <w:p w14:paraId="18BC05F5" w14:textId="77777777" w:rsidR="00E94C37" w:rsidRPr="004E151F" w:rsidRDefault="00E94C37" w:rsidP="00E94C37">
      <w:pPr>
        <w:tabs>
          <w:tab w:val="left" w:leader="underscore" w:pos="9639"/>
        </w:tabs>
        <w:jc w:val="both"/>
        <w:rPr>
          <w:rFonts w:ascii="Arial" w:hAnsi="Arial" w:cs="Arial"/>
          <w:b/>
          <w:sz w:val="20"/>
          <w:szCs w:val="20"/>
        </w:rPr>
      </w:pPr>
      <w:r w:rsidRPr="00FA379D">
        <w:rPr>
          <w:rFonts w:ascii="Arial" w:hAnsi="Arial" w:cs="Arial"/>
          <w:sz w:val="20"/>
          <w:szCs w:val="20"/>
        </w:rPr>
        <w:t>Se realizan las reservas de los recursos comprometidos con algún instrumento legal que avale el derecho jurídico de pago por parte de este Instituto, la mayoría corresponden a los contratos celebrados entre este instituto y los contratistas dados de alta en el padrón de la Secretaría de obra Pública, para llevar a cabo las acciones establecidas en el Programa Anual de Obra que se realiza en conjunto con la Secretaría de educación de Guanajuato.</w:t>
      </w:r>
      <w:bookmarkEnd w:id="30"/>
    </w:p>
    <w:p w14:paraId="003D36D7" w14:textId="77777777" w:rsidR="00E94C37" w:rsidRPr="00FA379D" w:rsidRDefault="00E94C37" w:rsidP="00E94C37">
      <w:pPr>
        <w:tabs>
          <w:tab w:val="left" w:leader="underscore" w:pos="9639"/>
        </w:tabs>
        <w:jc w:val="both"/>
        <w:rPr>
          <w:rFonts w:ascii="Arial" w:hAnsi="Arial" w:cs="Arial"/>
          <w:sz w:val="20"/>
          <w:szCs w:val="20"/>
        </w:rPr>
      </w:pPr>
      <w:bookmarkStart w:id="34" w:name="_Hlk22045389"/>
      <w:r w:rsidRPr="00FA379D">
        <w:rPr>
          <w:rFonts w:ascii="Arial" w:hAnsi="Arial" w:cs="Arial"/>
          <w:b/>
          <w:sz w:val="20"/>
          <w:szCs w:val="20"/>
        </w:rPr>
        <w:t>h)</w:t>
      </w:r>
      <w:r w:rsidRPr="00FA379D">
        <w:rPr>
          <w:rFonts w:ascii="Arial" w:hAnsi="Arial" w:cs="Arial"/>
          <w:sz w:val="20"/>
          <w:szCs w:val="20"/>
        </w:rPr>
        <w:t xml:space="preserve"> Cambios en políticas contables y corrección de errores junto con la revelación de los efectos que se tendrá en la información financiera del ente público, ya sea retrospectivos o prospectivos:</w:t>
      </w:r>
    </w:p>
    <w:p w14:paraId="476D7760" w14:textId="77777777"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sz w:val="20"/>
          <w:szCs w:val="20"/>
        </w:rPr>
        <w:t>Los Organismos Descentralizados, a partir del ejercicio fiscal 2011 han venido presentando la nueva estructura de registro contable y presupuestal normada por el CONAC. Asimismo, las guías contabilizadoras, la matriz de conversión y los nuevos procesos de Registro que de ellas emanan han sido aplicadas en el SIHP.</w:t>
      </w:r>
    </w:p>
    <w:p w14:paraId="4D896A3A" w14:textId="77777777"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b/>
          <w:sz w:val="20"/>
          <w:szCs w:val="20"/>
        </w:rPr>
        <w:t>i)</w:t>
      </w:r>
      <w:r w:rsidRPr="00FA379D">
        <w:rPr>
          <w:rFonts w:ascii="Arial" w:hAnsi="Arial" w:cs="Arial"/>
          <w:sz w:val="20"/>
          <w:szCs w:val="20"/>
        </w:rPr>
        <w:t xml:space="preserve"> Reclasificaciones: Se deben revelar todos aquellos movimientos entre cuentas por efectos de cambios en los tipos de operaciones:</w:t>
      </w:r>
    </w:p>
    <w:bookmarkEnd w:id="31"/>
    <w:p w14:paraId="2BBD1ED2" w14:textId="77777777"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sz w:val="20"/>
          <w:szCs w:val="20"/>
        </w:rPr>
        <w:t>Reclasificaciones en registros contables por cargo en cuentas de gasto no correspondidas, o por registros de pago en cuentas de banco no correspondidas.</w:t>
      </w:r>
      <w:bookmarkEnd w:id="32"/>
    </w:p>
    <w:p w14:paraId="11541969" w14:textId="77777777"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sz w:val="20"/>
          <w:szCs w:val="20"/>
        </w:rPr>
        <w:t>Reclasificaciones en cuentas de bancos.</w:t>
      </w:r>
    </w:p>
    <w:p w14:paraId="625F90AF" w14:textId="77777777"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b/>
          <w:sz w:val="20"/>
          <w:szCs w:val="20"/>
        </w:rPr>
        <w:lastRenderedPageBreak/>
        <w:t>j)</w:t>
      </w:r>
      <w:r w:rsidRPr="00FA379D">
        <w:rPr>
          <w:rFonts w:ascii="Arial" w:hAnsi="Arial" w:cs="Arial"/>
          <w:sz w:val="20"/>
          <w:szCs w:val="20"/>
        </w:rPr>
        <w:t xml:space="preserve"> Depuración y cancelación de saldos:</w:t>
      </w:r>
    </w:p>
    <w:p w14:paraId="073E649E" w14:textId="77777777"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sz w:val="20"/>
          <w:szCs w:val="20"/>
        </w:rPr>
        <w:t xml:space="preserve">Actualmente este Instituto en conjunto con la Dirección de Recursos de la </w:t>
      </w:r>
      <w:proofErr w:type="gramStart"/>
      <w:r w:rsidRPr="00FA379D">
        <w:rPr>
          <w:rFonts w:ascii="Arial" w:hAnsi="Arial" w:cs="Arial"/>
          <w:sz w:val="20"/>
          <w:szCs w:val="20"/>
        </w:rPr>
        <w:t>Secretaria</w:t>
      </w:r>
      <w:proofErr w:type="gramEnd"/>
      <w:r w:rsidRPr="00FA379D">
        <w:rPr>
          <w:rFonts w:ascii="Arial" w:hAnsi="Arial" w:cs="Arial"/>
          <w:sz w:val="20"/>
          <w:szCs w:val="20"/>
        </w:rPr>
        <w:t xml:space="preserve"> de Finanzas se encuentran realizando la depuración de los saldos de las cuentas de nómina derivados del Proceso de creación de este Instituto y pasivos al cierre de obra pública de ejercicios anteriores, ya que en dichos ejercicios el recurso era administrado por la Secretaría de Finanzas Inversión y Administración, pero se encontraba ampliado en el presupuesto de este Instituto</w:t>
      </w:r>
      <w:bookmarkEnd w:id="33"/>
      <w:bookmarkEnd w:id="34"/>
      <w:r w:rsidRPr="00FA379D">
        <w:rPr>
          <w:rFonts w:ascii="Arial" w:hAnsi="Arial" w:cs="Arial"/>
          <w:sz w:val="20"/>
          <w:szCs w:val="20"/>
        </w:rPr>
        <w:t>.</w:t>
      </w:r>
    </w:p>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16AB8AA7" w:rsidR="007D1E76" w:rsidRPr="000C3365" w:rsidRDefault="003E6C64" w:rsidP="000C3365">
      <w:pPr>
        <w:pStyle w:val="Ttulo2"/>
        <w:rPr>
          <w:rFonts w:asciiTheme="minorHAnsi" w:hAnsiTheme="minorHAnsi" w:cstheme="minorHAnsi"/>
          <w:b/>
          <w:color w:val="auto"/>
          <w:sz w:val="22"/>
        </w:rPr>
      </w:pPr>
      <w:bookmarkStart w:id="35" w:name="_Toc161472871"/>
      <w:r>
        <w:rPr>
          <w:rFonts w:asciiTheme="minorHAnsi" w:hAnsiTheme="minorHAnsi" w:cstheme="minorHAnsi"/>
          <w:b/>
          <w:color w:val="auto"/>
          <w:sz w:val="22"/>
        </w:rPr>
        <w:t>6</w:t>
      </w:r>
      <w:r w:rsidR="007D1E76" w:rsidRPr="000C3365">
        <w:rPr>
          <w:rFonts w:asciiTheme="minorHAnsi" w:hAnsiTheme="minorHAnsi" w:cstheme="minorHAnsi"/>
          <w:b/>
          <w:color w:val="auto"/>
          <w:sz w:val="22"/>
        </w:rPr>
        <w:t>. Posición en Moneda Extranjera y Pro</w:t>
      </w:r>
      <w:r w:rsidR="00E00323" w:rsidRPr="000C3365">
        <w:rPr>
          <w:rFonts w:asciiTheme="minorHAnsi" w:hAnsiTheme="minorHAnsi" w:cstheme="minorHAnsi"/>
          <w:b/>
          <w:color w:val="auto"/>
          <w:sz w:val="22"/>
        </w:rPr>
        <w:t>tección por Riesgo Cambiario:</w:t>
      </w:r>
      <w:bookmarkEnd w:id="35"/>
    </w:p>
    <w:p w14:paraId="60114D16" w14:textId="77777777" w:rsidR="007D1E76" w:rsidRPr="00E74967" w:rsidRDefault="007D1E76" w:rsidP="00CB41C4">
      <w:pPr>
        <w:tabs>
          <w:tab w:val="left" w:leader="underscore" w:pos="9639"/>
        </w:tabs>
        <w:spacing w:after="0" w:line="240" w:lineRule="auto"/>
        <w:jc w:val="both"/>
        <w:rPr>
          <w:rFonts w:cs="Calibri"/>
        </w:rPr>
      </w:pPr>
    </w:p>
    <w:p w14:paraId="646ED246" w14:textId="77777777"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sz w:val="20"/>
          <w:szCs w:val="20"/>
        </w:rPr>
        <w:t>Se informará sobre:</w:t>
      </w:r>
    </w:p>
    <w:p w14:paraId="0A85BFB1" w14:textId="77777777"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Activos en moneda extranjera:</w:t>
      </w:r>
    </w:p>
    <w:p w14:paraId="4817B13B" w14:textId="77777777" w:rsidR="00E94C37" w:rsidRPr="004E151F" w:rsidRDefault="00E94C37" w:rsidP="00E94C37">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cuenta con activos en moneda extranjera.</w:t>
      </w:r>
    </w:p>
    <w:p w14:paraId="4FF70CA8" w14:textId="77777777"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Pasivos en moneda extranjera:</w:t>
      </w:r>
    </w:p>
    <w:p w14:paraId="53AD7C45" w14:textId="77777777"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cuenta con pasivos en moneda extranjera.</w:t>
      </w:r>
    </w:p>
    <w:p w14:paraId="41854AD8" w14:textId="77777777"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b/>
          <w:sz w:val="20"/>
          <w:szCs w:val="20"/>
        </w:rPr>
        <w:t xml:space="preserve">c) </w:t>
      </w:r>
      <w:r w:rsidRPr="00FA379D">
        <w:rPr>
          <w:rFonts w:ascii="Arial" w:hAnsi="Arial" w:cs="Arial"/>
          <w:sz w:val="20"/>
          <w:szCs w:val="20"/>
        </w:rPr>
        <w:t>Posición en moneda extranjera:</w:t>
      </w:r>
    </w:p>
    <w:p w14:paraId="319509E6" w14:textId="77777777" w:rsidR="00E94C37" w:rsidRPr="00FA379D" w:rsidRDefault="00E94C37" w:rsidP="00E94C37">
      <w:pPr>
        <w:tabs>
          <w:tab w:val="left" w:leader="underscore" w:pos="9639"/>
        </w:tabs>
        <w:jc w:val="both"/>
        <w:rPr>
          <w:rFonts w:ascii="Arial" w:hAnsi="Arial" w:cs="Arial"/>
          <w:b/>
          <w:sz w:val="20"/>
          <w:szCs w:val="20"/>
        </w:rPr>
      </w:pPr>
      <w:r w:rsidRPr="00FA379D">
        <w:rPr>
          <w:rFonts w:ascii="Arial" w:hAnsi="Arial" w:cs="Arial"/>
          <w:sz w:val="20"/>
          <w:szCs w:val="20"/>
        </w:rPr>
        <w:t>Este Instituto de Infraestructura Física Educativa de Guanajuato no cuenta con posición en moneda extranjera.</w:t>
      </w:r>
    </w:p>
    <w:p w14:paraId="3DA996B2" w14:textId="77777777"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Tipo de cambio:</w:t>
      </w:r>
    </w:p>
    <w:p w14:paraId="6EAEFF4A" w14:textId="77777777" w:rsidR="00FB26C7" w:rsidRDefault="00FB26C7" w:rsidP="00E94C37">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5B78DABC" w14:textId="0B76FC05"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b/>
          <w:sz w:val="20"/>
          <w:szCs w:val="20"/>
        </w:rPr>
        <w:t xml:space="preserve">e) </w:t>
      </w:r>
      <w:r w:rsidRPr="00FA379D">
        <w:rPr>
          <w:rFonts w:ascii="Arial" w:hAnsi="Arial" w:cs="Arial"/>
          <w:sz w:val="20"/>
          <w:szCs w:val="20"/>
        </w:rPr>
        <w:t>Equivalente en moneda nacional:</w:t>
      </w:r>
    </w:p>
    <w:p w14:paraId="44EE17A1" w14:textId="605F25CB" w:rsidR="00E94C37" w:rsidRDefault="00FB26C7" w:rsidP="00E94C37">
      <w:pPr>
        <w:tabs>
          <w:tab w:val="left" w:leader="underscore" w:pos="9639"/>
        </w:tabs>
        <w:jc w:val="both"/>
        <w:rPr>
          <w:rFonts w:ascii="Arial" w:hAnsi="Arial" w:cs="Arial"/>
          <w:sz w:val="20"/>
          <w:szCs w:val="20"/>
        </w:rPr>
      </w:pPr>
      <w:r w:rsidRPr="00FB26C7">
        <w:rPr>
          <w:rFonts w:ascii="Arial" w:hAnsi="Arial" w:cs="Arial"/>
          <w:sz w:val="20"/>
          <w:szCs w:val="20"/>
        </w:rPr>
        <w:t>“Esta nota no le aplica al ente público”</w:t>
      </w:r>
    </w:p>
    <w:p w14:paraId="6C409197" w14:textId="77777777" w:rsidR="00FB26C7" w:rsidRPr="00FA379D" w:rsidRDefault="00FB26C7" w:rsidP="00E94C37">
      <w:pPr>
        <w:tabs>
          <w:tab w:val="left" w:leader="underscore" w:pos="9639"/>
        </w:tabs>
        <w:jc w:val="both"/>
        <w:rPr>
          <w:rFonts w:ascii="Arial" w:hAnsi="Arial" w:cs="Arial"/>
          <w:sz w:val="20"/>
          <w:szCs w:val="20"/>
        </w:rPr>
      </w:pPr>
    </w:p>
    <w:p w14:paraId="7D0D6822" w14:textId="77777777"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sz w:val="20"/>
          <w:szCs w:val="20"/>
        </w:rPr>
        <w:t>Lo anterior por cada tipo de moneda extranjera que se encuentre en los rubros de activo y pasivo.</w:t>
      </w:r>
    </w:p>
    <w:p w14:paraId="0660C8BB" w14:textId="77777777"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sz w:val="20"/>
          <w:szCs w:val="20"/>
        </w:rPr>
        <w:t>Adicionalmente se informará sobre los métodos de protección de riesgo por variaciones en el tipo de cambio.</w:t>
      </w:r>
    </w:p>
    <w:p w14:paraId="5D7BA233" w14:textId="77777777" w:rsidR="007D1E76" w:rsidRPr="00E74967" w:rsidRDefault="007D1E76" w:rsidP="00CB41C4">
      <w:pPr>
        <w:tabs>
          <w:tab w:val="left" w:leader="underscore" w:pos="9639"/>
        </w:tabs>
        <w:spacing w:after="0" w:line="240" w:lineRule="auto"/>
        <w:jc w:val="both"/>
        <w:rPr>
          <w:rFonts w:cs="Calibri"/>
        </w:rPr>
      </w:pPr>
    </w:p>
    <w:p w14:paraId="6B0A6883" w14:textId="77777777" w:rsidR="007D1E76" w:rsidRPr="00E74967" w:rsidRDefault="007D1E76" w:rsidP="00CB41C4">
      <w:pPr>
        <w:tabs>
          <w:tab w:val="left" w:leader="underscore" w:pos="9639"/>
        </w:tabs>
        <w:spacing w:after="0" w:line="240" w:lineRule="auto"/>
        <w:jc w:val="both"/>
        <w:rPr>
          <w:rFonts w:cs="Calibri"/>
        </w:rPr>
      </w:pPr>
    </w:p>
    <w:p w14:paraId="095853FE" w14:textId="75928022" w:rsidR="007D1E76" w:rsidRPr="000C3365" w:rsidRDefault="0064059E" w:rsidP="000C3365">
      <w:pPr>
        <w:pStyle w:val="Ttulo2"/>
        <w:rPr>
          <w:rFonts w:asciiTheme="minorHAnsi" w:hAnsiTheme="minorHAnsi" w:cstheme="minorHAnsi"/>
          <w:b/>
          <w:color w:val="auto"/>
          <w:sz w:val="22"/>
        </w:rPr>
      </w:pPr>
      <w:bookmarkStart w:id="36" w:name="_Toc161472872"/>
      <w:r>
        <w:rPr>
          <w:rFonts w:asciiTheme="minorHAnsi" w:hAnsiTheme="minorHAnsi" w:cstheme="minorHAnsi"/>
          <w:b/>
          <w:color w:val="auto"/>
          <w:sz w:val="22"/>
        </w:rPr>
        <w:t>7</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Reporte Analítico del Activo:</w:t>
      </w:r>
      <w:bookmarkEnd w:id="36"/>
    </w:p>
    <w:p w14:paraId="1C9AE80E" w14:textId="77777777" w:rsidR="007D1E76" w:rsidRPr="00E74967" w:rsidRDefault="007D1E76" w:rsidP="00CB41C4">
      <w:pPr>
        <w:tabs>
          <w:tab w:val="left" w:leader="underscore" w:pos="9639"/>
        </w:tabs>
        <w:spacing w:after="0" w:line="240" w:lineRule="auto"/>
        <w:jc w:val="both"/>
        <w:rPr>
          <w:rFonts w:cs="Calibri"/>
        </w:rPr>
      </w:pPr>
    </w:p>
    <w:p w14:paraId="198219AC" w14:textId="77777777"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sz w:val="20"/>
          <w:szCs w:val="20"/>
        </w:rPr>
        <w:t>Debe mostrar la siguiente información:</w:t>
      </w:r>
    </w:p>
    <w:p w14:paraId="2F1F8898" w14:textId="77777777"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Vida útil o porcentajes de depreciación, deterioro o amortización utilizados en los diferentes tipos de activos:</w:t>
      </w:r>
    </w:p>
    <w:p w14:paraId="67C7F008" w14:textId="77777777" w:rsidR="00E94C37" w:rsidRPr="004E151F" w:rsidRDefault="00E94C37" w:rsidP="00E94C37">
      <w:pPr>
        <w:tabs>
          <w:tab w:val="left" w:leader="underscore" w:pos="9639"/>
        </w:tabs>
        <w:jc w:val="both"/>
        <w:rPr>
          <w:rFonts w:ascii="Arial" w:hAnsi="Arial" w:cs="Arial"/>
          <w:sz w:val="20"/>
          <w:szCs w:val="20"/>
        </w:rPr>
      </w:pPr>
      <w:r w:rsidRPr="00FA379D">
        <w:rPr>
          <w:rFonts w:ascii="Arial" w:hAnsi="Arial" w:cs="Arial"/>
          <w:sz w:val="20"/>
          <w:szCs w:val="20"/>
        </w:rPr>
        <w:t>Con forme a los porcentajes publicados en la Ley del Impuesto Sobre la Renta.</w:t>
      </w:r>
    </w:p>
    <w:p w14:paraId="7C504150" w14:textId="77777777"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Cambios en el porcentaje de depreciación o valor residual de los activos:</w:t>
      </w:r>
    </w:p>
    <w:p w14:paraId="2DE6952C" w14:textId="77777777"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sz w:val="20"/>
          <w:szCs w:val="20"/>
        </w:rPr>
        <w:lastRenderedPageBreak/>
        <w:t>De conformidad con la norma de CONAC y los alcances del SIHP, actualmente sólo pueden considerarse las 40 clases de activos vigentes.</w:t>
      </w:r>
    </w:p>
    <w:p w14:paraId="01F57D40" w14:textId="77777777"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b/>
          <w:sz w:val="20"/>
          <w:szCs w:val="20"/>
        </w:rPr>
        <w:t>c)</w:t>
      </w:r>
      <w:r w:rsidRPr="00FA379D">
        <w:rPr>
          <w:rFonts w:ascii="Arial" w:hAnsi="Arial" w:cs="Arial"/>
          <w:sz w:val="20"/>
          <w:szCs w:val="20"/>
        </w:rPr>
        <w:t xml:space="preserve"> Importe de los gastos capitalizados en el ejercicio, tanto financieros como de investigación y desarrollo:</w:t>
      </w:r>
    </w:p>
    <w:p w14:paraId="4971126E" w14:textId="77777777" w:rsidR="00FB26C7" w:rsidRDefault="00FB26C7" w:rsidP="00E94C37">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48407B08" w14:textId="03435719"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Riesgos por tipo de cambio o tipo de interés de las inversiones financieras:</w:t>
      </w:r>
    </w:p>
    <w:p w14:paraId="2D8A3A8F" w14:textId="77777777" w:rsidR="00FB26C7" w:rsidRDefault="00FB26C7" w:rsidP="00E94C37">
      <w:pPr>
        <w:tabs>
          <w:tab w:val="left" w:leader="underscore" w:pos="9639"/>
        </w:tabs>
        <w:jc w:val="both"/>
        <w:rPr>
          <w:rFonts w:ascii="Arial" w:hAnsi="Arial" w:cs="Arial"/>
          <w:sz w:val="20"/>
          <w:szCs w:val="20"/>
        </w:rPr>
      </w:pPr>
      <w:bookmarkStart w:id="37" w:name="_Hlk14085043"/>
      <w:r w:rsidRPr="00FB26C7">
        <w:rPr>
          <w:rFonts w:ascii="Arial" w:hAnsi="Arial" w:cs="Arial"/>
          <w:sz w:val="20"/>
          <w:szCs w:val="20"/>
        </w:rPr>
        <w:t xml:space="preserve">“Esta nota no le aplica al ente público” </w:t>
      </w:r>
    </w:p>
    <w:p w14:paraId="22443FFD" w14:textId="2961F1E9"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b/>
          <w:sz w:val="20"/>
          <w:szCs w:val="20"/>
        </w:rPr>
        <w:t xml:space="preserve">e) </w:t>
      </w:r>
      <w:r w:rsidRPr="00FA379D">
        <w:rPr>
          <w:rFonts w:ascii="Arial" w:hAnsi="Arial" w:cs="Arial"/>
          <w:sz w:val="20"/>
          <w:szCs w:val="20"/>
        </w:rPr>
        <w:t>Valor activado en el ejercicio de los bienes construidos por la entidad:</w:t>
      </w:r>
    </w:p>
    <w:p w14:paraId="7A28FE13" w14:textId="77777777" w:rsidR="00FB26C7" w:rsidRDefault="00FB26C7" w:rsidP="00E94C37">
      <w:pPr>
        <w:tabs>
          <w:tab w:val="left" w:leader="underscore" w:pos="9639"/>
        </w:tabs>
        <w:jc w:val="both"/>
        <w:rPr>
          <w:rFonts w:ascii="Arial" w:hAnsi="Arial" w:cs="Arial"/>
          <w:sz w:val="20"/>
          <w:szCs w:val="20"/>
        </w:rPr>
      </w:pPr>
      <w:bookmarkStart w:id="38" w:name="_Hlk85201943"/>
      <w:r w:rsidRPr="00FB26C7">
        <w:rPr>
          <w:rFonts w:ascii="Arial" w:hAnsi="Arial" w:cs="Arial"/>
          <w:sz w:val="20"/>
          <w:szCs w:val="20"/>
        </w:rPr>
        <w:t xml:space="preserve">“Esta nota no le aplica al ente público” </w:t>
      </w:r>
    </w:p>
    <w:p w14:paraId="4CEA905C" w14:textId="5B3ACF21"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b/>
          <w:sz w:val="20"/>
          <w:szCs w:val="20"/>
        </w:rPr>
        <w:t>f)</w:t>
      </w:r>
      <w:r w:rsidRPr="00FA379D">
        <w:rPr>
          <w:rFonts w:ascii="Arial" w:hAnsi="Arial" w:cs="Arial"/>
          <w:sz w:val="20"/>
          <w:szCs w:val="20"/>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384DB5C4" w14:textId="77777777" w:rsidR="00FB26C7" w:rsidRDefault="00FB26C7" w:rsidP="00E94C37">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66717A08" w14:textId="0CE13F7F"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b/>
          <w:sz w:val="20"/>
          <w:szCs w:val="20"/>
        </w:rPr>
        <w:t>g)</w:t>
      </w:r>
      <w:r w:rsidRPr="00FA379D">
        <w:rPr>
          <w:rFonts w:ascii="Arial" w:hAnsi="Arial" w:cs="Arial"/>
          <w:sz w:val="20"/>
          <w:szCs w:val="20"/>
        </w:rPr>
        <w:t xml:space="preserve"> Desmantelamiento de Activos, procedimientos, implicaciones, efectos contables:</w:t>
      </w:r>
    </w:p>
    <w:p w14:paraId="70BE1538" w14:textId="77777777" w:rsidR="00FB26C7" w:rsidRDefault="00FB26C7" w:rsidP="00E94C37">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41D78FD1" w14:textId="7A1AC9D6"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b/>
          <w:sz w:val="20"/>
          <w:szCs w:val="20"/>
        </w:rPr>
        <w:t>h)</w:t>
      </w:r>
      <w:r w:rsidRPr="00FA379D">
        <w:rPr>
          <w:rFonts w:ascii="Arial" w:hAnsi="Arial" w:cs="Arial"/>
          <w:sz w:val="20"/>
          <w:szCs w:val="20"/>
        </w:rPr>
        <w:t xml:space="preserve"> Administración de activos; planeación con el objetivo de que el ente los utilice de manera más efectiva:</w:t>
      </w:r>
    </w:p>
    <w:p w14:paraId="05B51DB8" w14:textId="77777777"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sz w:val="20"/>
          <w:szCs w:val="20"/>
        </w:rPr>
        <w:t>Se lleva un control sobre los servicios y mantenimiento que requieran para que se prolongue la vida útil de los mismos, ya que este Instituto tiene activos con una antigüedad mayor a 10 años.</w:t>
      </w:r>
    </w:p>
    <w:p w14:paraId="1041D8B0" w14:textId="77777777"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sz w:val="20"/>
          <w:szCs w:val="20"/>
        </w:rPr>
        <w:t>Adicionalmente, se deben incluir las explicaciones de las principales variaciones en el activo, en cuadros comparativos como sigue:</w:t>
      </w:r>
    </w:p>
    <w:p w14:paraId="49229E4C" w14:textId="77777777"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Inversiones en valores:</w:t>
      </w:r>
    </w:p>
    <w:p w14:paraId="1E8FDCA4" w14:textId="77777777" w:rsidR="00FB26C7" w:rsidRDefault="00FB26C7" w:rsidP="00E94C37">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6647818C" w14:textId="6FFED720"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Patrimonio de Organismos descentralizados de Control Presupuestario Indirecto:</w:t>
      </w:r>
    </w:p>
    <w:p w14:paraId="5FAAB3FB" w14:textId="77777777" w:rsidR="00FB26C7" w:rsidRDefault="00FB26C7" w:rsidP="00E94C37">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5433C739" w14:textId="2A46229D"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b/>
          <w:sz w:val="20"/>
          <w:szCs w:val="20"/>
        </w:rPr>
        <w:t>c)</w:t>
      </w:r>
      <w:r w:rsidRPr="00FA379D">
        <w:rPr>
          <w:rFonts w:ascii="Arial" w:hAnsi="Arial" w:cs="Arial"/>
          <w:sz w:val="20"/>
          <w:szCs w:val="20"/>
        </w:rPr>
        <w:t xml:space="preserve"> Inversiones en empresas de participación mayoritaria:</w:t>
      </w:r>
    </w:p>
    <w:p w14:paraId="6FF7EC85" w14:textId="109E204E" w:rsidR="00E94C37" w:rsidRDefault="00FB26C7" w:rsidP="00E94C37">
      <w:pPr>
        <w:tabs>
          <w:tab w:val="left" w:leader="underscore" w:pos="9639"/>
        </w:tabs>
        <w:jc w:val="both"/>
        <w:rPr>
          <w:rFonts w:ascii="Arial" w:hAnsi="Arial" w:cs="Arial"/>
          <w:sz w:val="20"/>
          <w:szCs w:val="20"/>
        </w:rPr>
      </w:pPr>
      <w:r w:rsidRPr="00FB26C7">
        <w:rPr>
          <w:rFonts w:ascii="Arial" w:hAnsi="Arial" w:cs="Arial"/>
          <w:sz w:val="20"/>
          <w:szCs w:val="20"/>
        </w:rPr>
        <w:t>“Esta nota no le aplica al ente público”</w:t>
      </w:r>
    </w:p>
    <w:p w14:paraId="3EFC2C25" w14:textId="77777777" w:rsidR="00FB26C7" w:rsidRPr="00FA379D" w:rsidRDefault="00FB26C7" w:rsidP="00E94C37">
      <w:pPr>
        <w:tabs>
          <w:tab w:val="left" w:leader="underscore" w:pos="9639"/>
        </w:tabs>
        <w:jc w:val="both"/>
        <w:rPr>
          <w:rFonts w:ascii="Arial" w:hAnsi="Arial" w:cs="Arial"/>
          <w:sz w:val="20"/>
          <w:szCs w:val="20"/>
        </w:rPr>
      </w:pPr>
    </w:p>
    <w:p w14:paraId="15398BBA" w14:textId="77777777"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Inversiones en empresas de participación minoritaria:</w:t>
      </w:r>
    </w:p>
    <w:p w14:paraId="20AA2A92" w14:textId="77777777" w:rsidR="00FB26C7" w:rsidRDefault="00FB26C7" w:rsidP="00E94C37">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5A2E9F3C" w14:textId="726ED339"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b/>
          <w:sz w:val="20"/>
          <w:szCs w:val="20"/>
        </w:rPr>
        <w:t>e)</w:t>
      </w:r>
      <w:r w:rsidRPr="00FA379D">
        <w:rPr>
          <w:rFonts w:ascii="Arial" w:hAnsi="Arial" w:cs="Arial"/>
          <w:sz w:val="20"/>
          <w:szCs w:val="20"/>
        </w:rPr>
        <w:t xml:space="preserve"> Patrimonio de organismos descentralizados de control presupuestario directo, según corresponda:</w:t>
      </w:r>
    </w:p>
    <w:bookmarkEnd w:id="37"/>
    <w:bookmarkEnd w:id="38"/>
    <w:p w14:paraId="2B6EDA91" w14:textId="206751AB" w:rsidR="007D1E76" w:rsidRDefault="00FB26C7" w:rsidP="00CB41C4">
      <w:pPr>
        <w:tabs>
          <w:tab w:val="left" w:leader="underscore" w:pos="9639"/>
        </w:tabs>
        <w:spacing w:after="0" w:line="240" w:lineRule="auto"/>
        <w:jc w:val="both"/>
        <w:rPr>
          <w:rFonts w:ascii="Arial" w:hAnsi="Arial" w:cs="Arial"/>
          <w:sz w:val="20"/>
          <w:szCs w:val="20"/>
        </w:rPr>
      </w:pPr>
      <w:r w:rsidRPr="00FB26C7">
        <w:rPr>
          <w:rFonts w:ascii="Arial" w:hAnsi="Arial" w:cs="Arial"/>
          <w:sz w:val="20"/>
          <w:szCs w:val="20"/>
        </w:rPr>
        <w:t>“Esta nota no le aplica al ente público”</w:t>
      </w:r>
    </w:p>
    <w:p w14:paraId="4F675E17" w14:textId="77777777" w:rsidR="00FB26C7" w:rsidRPr="00E74967" w:rsidRDefault="00FB26C7" w:rsidP="00CB41C4">
      <w:pPr>
        <w:tabs>
          <w:tab w:val="left" w:leader="underscore" w:pos="9639"/>
        </w:tabs>
        <w:spacing w:after="0" w:line="240" w:lineRule="auto"/>
        <w:jc w:val="both"/>
        <w:rPr>
          <w:rFonts w:cs="Calibri"/>
        </w:rPr>
      </w:pP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6AD73354" w:rsidR="007D1E76" w:rsidRPr="000C3365" w:rsidRDefault="002722DD" w:rsidP="000C3365">
      <w:pPr>
        <w:pStyle w:val="Ttulo2"/>
        <w:rPr>
          <w:rFonts w:asciiTheme="minorHAnsi" w:hAnsiTheme="minorHAnsi" w:cstheme="minorHAnsi"/>
          <w:b/>
          <w:color w:val="auto"/>
          <w:sz w:val="22"/>
        </w:rPr>
      </w:pPr>
      <w:bookmarkStart w:id="39" w:name="_Toc161472873"/>
      <w:r>
        <w:rPr>
          <w:rFonts w:asciiTheme="minorHAnsi" w:hAnsiTheme="minorHAnsi" w:cstheme="minorHAnsi"/>
          <w:b/>
          <w:color w:val="auto"/>
          <w:sz w:val="22"/>
        </w:rPr>
        <w:t>8</w:t>
      </w:r>
      <w:r w:rsidR="007D1E76" w:rsidRPr="000C3365">
        <w:rPr>
          <w:rFonts w:asciiTheme="minorHAnsi" w:hAnsiTheme="minorHAnsi" w:cstheme="minorHAnsi"/>
          <w:b/>
          <w:color w:val="auto"/>
          <w:sz w:val="22"/>
        </w:rPr>
        <w:t>. Fidei</w:t>
      </w:r>
      <w:r w:rsidR="005E231E" w:rsidRPr="000C3365">
        <w:rPr>
          <w:rFonts w:asciiTheme="minorHAnsi" w:hAnsiTheme="minorHAnsi" w:cstheme="minorHAnsi"/>
          <w:b/>
          <w:color w:val="auto"/>
          <w:sz w:val="22"/>
        </w:rPr>
        <w:t>comisos, Mandatos y Análogos:</w:t>
      </w:r>
      <w:bookmarkEnd w:id="39"/>
    </w:p>
    <w:p w14:paraId="5B412C86" w14:textId="77777777" w:rsidR="007D1E76" w:rsidRPr="00E74967" w:rsidRDefault="007D1E76" w:rsidP="00CB41C4">
      <w:pPr>
        <w:tabs>
          <w:tab w:val="left" w:leader="underscore" w:pos="9639"/>
        </w:tabs>
        <w:spacing w:after="0" w:line="240" w:lineRule="auto"/>
        <w:jc w:val="both"/>
        <w:rPr>
          <w:rFonts w:cs="Calibri"/>
        </w:rPr>
      </w:pPr>
    </w:p>
    <w:p w14:paraId="6E55E71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708E87EF" w14:textId="77777777" w:rsidR="007D1E76" w:rsidRPr="00E74967" w:rsidRDefault="007D1E76" w:rsidP="00CB41C4">
      <w:pPr>
        <w:tabs>
          <w:tab w:val="left" w:leader="underscore" w:pos="9639"/>
        </w:tabs>
        <w:spacing w:after="0" w:line="240" w:lineRule="auto"/>
        <w:jc w:val="both"/>
        <w:rPr>
          <w:rFonts w:cs="Calibri"/>
        </w:rPr>
      </w:pPr>
    </w:p>
    <w:p w14:paraId="2010752E" w14:textId="2174C920" w:rsidR="007D1E76"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7EB2BBB9" w14:textId="77777777" w:rsidR="00E94C37" w:rsidRDefault="00E94C37" w:rsidP="00CB41C4">
      <w:pPr>
        <w:tabs>
          <w:tab w:val="left" w:leader="underscore" w:pos="9639"/>
        </w:tabs>
        <w:spacing w:after="0" w:line="240" w:lineRule="auto"/>
        <w:jc w:val="both"/>
        <w:rPr>
          <w:rFonts w:cs="Calibri"/>
        </w:rPr>
      </w:pPr>
    </w:p>
    <w:p w14:paraId="49DFFAAA" w14:textId="77777777" w:rsidR="00FB26C7" w:rsidRDefault="00FB26C7" w:rsidP="00CB41C4">
      <w:pPr>
        <w:tabs>
          <w:tab w:val="left" w:leader="underscore" w:pos="9639"/>
        </w:tabs>
        <w:spacing w:after="0" w:line="240" w:lineRule="auto"/>
        <w:jc w:val="both"/>
        <w:rPr>
          <w:rFonts w:cs="Calibri"/>
        </w:rPr>
      </w:pPr>
      <w:r w:rsidRPr="00FB26C7">
        <w:rPr>
          <w:rFonts w:cs="Calibri"/>
        </w:rPr>
        <w:t xml:space="preserve">“Esta nota no le aplica al ente público” </w:t>
      </w:r>
    </w:p>
    <w:p w14:paraId="694AA09E" w14:textId="244D7075" w:rsidR="00E94C37" w:rsidRPr="00E74967" w:rsidRDefault="00E94C37" w:rsidP="00CB41C4">
      <w:pPr>
        <w:tabs>
          <w:tab w:val="left" w:leader="underscore" w:pos="9639"/>
        </w:tabs>
        <w:spacing w:after="0" w:line="240" w:lineRule="auto"/>
        <w:jc w:val="both"/>
        <w:rPr>
          <w:rFonts w:cs="Calibri"/>
        </w:rPr>
      </w:pPr>
      <w:r>
        <w:rPr>
          <w:rFonts w:cs="Calibri"/>
        </w:rPr>
        <w:t xml:space="preserve"> </w:t>
      </w:r>
    </w:p>
    <w:p w14:paraId="326C2254" w14:textId="77777777" w:rsidR="007D1E76"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1C916D82" w14:textId="77777777" w:rsidR="00E94C37" w:rsidRDefault="00E94C37" w:rsidP="00CB41C4">
      <w:pPr>
        <w:tabs>
          <w:tab w:val="left" w:leader="underscore" w:pos="9639"/>
        </w:tabs>
        <w:spacing w:after="0" w:line="240" w:lineRule="auto"/>
        <w:jc w:val="both"/>
        <w:rPr>
          <w:rFonts w:cs="Calibri"/>
        </w:rPr>
      </w:pPr>
    </w:p>
    <w:p w14:paraId="05436056" w14:textId="77777777" w:rsidR="00E94C37" w:rsidRDefault="00E94C37" w:rsidP="00CB41C4">
      <w:pPr>
        <w:tabs>
          <w:tab w:val="left" w:leader="underscore" w:pos="9639"/>
        </w:tabs>
        <w:spacing w:after="0" w:line="240" w:lineRule="auto"/>
        <w:jc w:val="both"/>
        <w:rPr>
          <w:rFonts w:cs="Calibri"/>
        </w:rPr>
      </w:pPr>
    </w:p>
    <w:p w14:paraId="3FC3AD59" w14:textId="77777777" w:rsidR="00E94C37" w:rsidRDefault="00E94C37" w:rsidP="00CB41C4">
      <w:pPr>
        <w:tabs>
          <w:tab w:val="left" w:leader="underscore" w:pos="9639"/>
        </w:tabs>
        <w:spacing w:after="0" w:line="240" w:lineRule="auto"/>
        <w:jc w:val="both"/>
        <w:rPr>
          <w:rFonts w:cs="Calibri"/>
        </w:rPr>
      </w:pPr>
    </w:p>
    <w:p w14:paraId="13A35F00" w14:textId="77777777" w:rsidR="00E94C37" w:rsidRPr="00E74967" w:rsidRDefault="00E94C37" w:rsidP="00CB41C4">
      <w:pPr>
        <w:tabs>
          <w:tab w:val="left" w:leader="underscore" w:pos="9639"/>
        </w:tabs>
        <w:spacing w:after="0" w:line="240" w:lineRule="auto"/>
        <w:jc w:val="both"/>
        <w:rPr>
          <w:rFonts w:cs="Calibri"/>
        </w:rPr>
      </w:pPr>
    </w:p>
    <w:p w14:paraId="2F60B1C6" w14:textId="47BAD216" w:rsidR="007D1E76" w:rsidRPr="000C3365" w:rsidRDefault="002722DD" w:rsidP="000C3365">
      <w:pPr>
        <w:pStyle w:val="Ttulo2"/>
        <w:rPr>
          <w:rFonts w:asciiTheme="minorHAnsi" w:hAnsiTheme="minorHAnsi" w:cstheme="minorHAnsi"/>
          <w:b/>
          <w:color w:val="auto"/>
          <w:sz w:val="22"/>
        </w:rPr>
      </w:pPr>
      <w:bookmarkStart w:id="40" w:name="_Toc161472874"/>
      <w:r>
        <w:rPr>
          <w:rFonts w:asciiTheme="minorHAnsi" w:hAnsiTheme="minorHAnsi" w:cstheme="minorHAnsi"/>
          <w:b/>
          <w:color w:val="auto"/>
          <w:sz w:val="22"/>
        </w:rPr>
        <w:t>9</w:t>
      </w:r>
      <w:r w:rsidR="007D1E76" w:rsidRPr="000C3365">
        <w:rPr>
          <w:rFonts w:asciiTheme="minorHAnsi" w:hAnsiTheme="minorHAnsi" w:cstheme="minorHAnsi"/>
          <w:b/>
          <w:color w:val="auto"/>
          <w:sz w:val="22"/>
        </w:rPr>
        <w:t>. Reporte de la Recaudación:</w:t>
      </w:r>
      <w:bookmarkEnd w:id="40"/>
    </w:p>
    <w:p w14:paraId="2B90D2EC" w14:textId="77777777" w:rsidR="007D1E76" w:rsidRPr="00E74967" w:rsidRDefault="007D1E76" w:rsidP="00CB41C4">
      <w:pPr>
        <w:tabs>
          <w:tab w:val="left" w:leader="underscore" w:pos="9639"/>
        </w:tabs>
        <w:spacing w:after="0" w:line="240" w:lineRule="auto"/>
        <w:jc w:val="both"/>
        <w:rPr>
          <w:rFonts w:cs="Calibri"/>
        </w:rPr>
      </w:pPr>
    </w:p>
    <w:p w14:paraId="25602D19" w14:textId="77777777" w:rsidR="000F75FD" w:rsidRDefault="00E94C37" w:rsidP="00E94C37">
      <w:pPr>
        <w:tabs>
          <w:tab w:val="left" w:leader="underscore" w:pos="9639"/>
        </w:tabs>
        <w:jc w:val="both"/>
        <w:rPr>
          <w:rFonts w:ascii="Arial" w:hAnsi="Arial" w:cs="Arial"/>
          <w:sz w:val="20"/>
          <w:szCs w:val="20"/>
        </w:rPr>
      </w:pPr>
      <w:bookmarkStart w:id="41" w:name="_Toc161472875"/>
      <w:r w:rsidRPr="00FA379D">
        <w:rPr>
          <w:rFonts w:ascii="Arial" w:hAnsi="Arial" w:cs="Arial"/>
          <w:b/>
          <w:sz w:val="20"/>
          <w:szCs w:val="20"/>
        </w:rPr>
        <w:t>a)</w:t>
      </w:r>
      <w:r w:rsidRPr="00FA379D">
        <w:rPr>
          <w:rFonts w:ascii="Arial" w:hAnsi="Arial" w:cs="Arial"/>
          <w:sz w:val="20"/>
          <w:szCs w:val="20"/>
        </w:rPr>
        <w:t xml:space="preserve"> Análisis del comportamiento de la recaudación correspondiente al ente público o cualquier tipo de ingreso, de forma separada los ingresos locales de los federales:</w:t>
      </w:r>
    </w:p>
    <w:p w14:paraId="7FFEF857" w14:textId="615755D1" w:rsidR="00E94C37" w:rsidRPr="00FA379D" w:rsidRDefault="000F75FD" w:rsidP="00E94C37">
      <w:pPr>
        <w:tabs>
          <w:tab w:val="left" w:leader="underscore" w:pos="9639"/>
        </w:tabs>
        <w:jc w:val="both"/>
        <w:rPr>
          <w:rFonts w:ascii="Arial" w:hAnsi="Arial" w:cs="Arial"/>
          <w:sz w:val="20"/>
          <w:szCs w:val="20"/>
        </w:rPr>
      </w:pPr>
      <w:r>
        <w:rPr>
          <w:rFonts w:ascii="Arial" w:hAnsi="Arial" w:cs="Arial"/>
          <w:sz w:val="20"/>
          <w:szCs w:val="20"/>
        </w:rPr>
        <w:t xml:space="preserve"> El Instituto De Infraestructura Física Educativa de Guanajuato no cuenta con proyectos de recaudación en el ejercicio 2024, en virtud del comienzo del proceso de </w:t>
      </w:r>
      <w:r w:rsidR="00FB26C7">
        <w:rPr>
          <w:rFonts w:ascii="Arial" w:hAnsi="Arial" w:cs="Arial"/>
          <w:sz w:val="20"/>
          <w:szCs w:val="20"/>
        </w:rPr>
        <w:t>extinción del</w:t>
      </w:r>
      <w:r>
        <w:rPr>
          <w:rFonts w:ascii="Arial" w:hAnsi="Arial" w:cs="Arial"/>
          <w:sz w:val="20"/>
          <w:szCs w:val="20"/>
        </w:rPr>
        <w:t xml:space="preserve"> ente, en referencia al decreto numero 6 publicado en el periódico oficial del</w:t>
      </w:r>
      <w:r w:rsidR="00FB26C7">
        <w:rPr>
          <w:rFonts w:ascii="Arial" w:hAnsi="Arial" w:cs="Arial"/>
          <w:sz w:val="20"/>
          <w:szCs w:val="20"/>
        </w:rPr>
        <w:t xml:space="preserve"> gobierno del estado de Guanajuato numero 233 segunda parte de fecha 23 de </w:t>
      </w:r>
      <w:proofErr w:type="gramStart"/>
      <w:r w:rsidR="00FB26C7">
        <w:rPr>
          <w:rFonts w:ascii="Arial" w:hAnsi="Arial" w:cs="Arial"/>
          <w:sz w:val="20"/>
          <w:szCs w:val="20"/>
        </w:rPr>
        <w:t>Noviembre</w:t>
      </w:r>
      <w:proofErr w:type="gramEnd"/>
      <w:r w:rsidR="00FB26C7">
        <w:rPr>
          <w:rFonts w:ascii="Arial" w:hAnsi="Arial" w:cs="Arial"/>
          <w:sz w:val="20"/>
          <w:szCs w:val="20"/>
        </w:rPr>
        <w:t xml:space="preserve"> de 2021.</w:t>
      </w:r>
    </w:p>
    <w:p w14:paraId="738A0EA0" w14:textId="77777777" w:rsidR="00E94C37" w:rsidRPr="00FA379D" w:rsidRDefault="00E94C37" w:rsidP="00E94C37">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Proyección de la recaudación e ingresos en el mediano plazo:</w:t>
      </w:r>
    </w:p>
    <w:p w14:paraId="518C2F8A" w14:textId="07CF0CE4" w:rsidR="00FB26C7" w:rsidRPr="00FA379D" w:rsidRDefault="00FB26C7" w:rsidP="00FB26C7">
      <w:pPr>
        <w:tabs>
          <w:tab w:val="left" w:leader="underscore" w:pos="9639"/>
        </w:tabs>
        <w:jc w:val="both"/>
        <w:rPr>
          <w:rFonts w:ascii="Arial" w:hAnsi="Arial" w:cs="Arial"/>
          <w:sz w:val="20"/>
          <w:szCs w:val="20"/>
        </w:rPr>
      </w:pPr>
      <w:r>
        <w:rPr>
          <w:rFonts w:ascii="Arial" w:hAnsi="Arial" w:cs="Arial"/>
          <w:sz w:val="20"/>
          <w:szCs w:val="20"/>
        </w:rPr>
        <w:t xml:space="preserve">El Instituto De Infraestructura Física Educativa de Guanajuato no cuenta con proyectos de recaudación en el ejercicio 2024, en virtud del comienzo del proceso de extinción del ente, en referencia al decreto numero 6 publicado en el periódico oficial del gobierno del estado de Guanajuato numero 233 segunda parte de fecha 23 de </w:t>
      </w:r>
      <w:proofErr w:type="gramStart"/>
      <w:r>
        <w:rPr>
          <w:rFonts w:ascii="Arial" w:hAnsi="Arial" w:cs="Arial"/>
          <w:sz w:val="20"/>
          <w:szCs w:val="20"/>
        </w:rPr>
        <w:t>Noviembre</w:t>
      </w:r>
      <w:proofErr w:type="gramEnd"/>
      <w:r>
        <w:rPr>
          <w:rFonts w:ascii="Arial" w:hAnsi="Arial" w:cs="Arial"/>
          <w:sz w:val="20"/>
          <w:szCs w:val="20"/>
        </w:rPr>
        <w:t xml:space="preserve"> de 2021.</w:t>
      </w:r>
    </w:p>
    <w:p w14:paraId="2D68C3FC" w14:textId="7BAEB103" w:rsidR="007D1E76" w:rsidRPr="000C3365" w:rsidRDefault="007D1E76" w:rsidP="000C3365">
      <w:pPr>
        <w:pStyle w:val="Ttulo2"/>
        <w:rPr>
          <w:rFonts w:asciiTheme="minorHAnsi" w:hAnsiTheme="minorHAnsi" w:cstheme="minorHAnsi"/>
          <w:b/>
          <w:color w:val="auto"/>
          <w:sz w:val="22"/>
        </w:rPr>
      </w:pPr>
      <w:r w:rsidRPr="000C3365">
        <w:rPr>
          <w:rFonts w:asciiTheme="minorHAnsi" w:hAnsiTheme="minorHAnsi" w:cstheme="minorHAnsi"/>
          <w:b/>
          <w:color w:val="auto"/>
          <w:sz w:val="22"/>
        </w:rPr>
        <w:t>1</w:t>
      </w:r>
      <w:r w:rsidR="00106EE9">
        <w:rPr>
          <w:rFonts w:asciiTheme="minorHAnsi" w:hAnsiTheme="minorHAnsi" w:cstheme="minorHAnsi"/>
          <w:b/>
          <w:color w:val="auto"/>
          <w:sz w:val="22"/>
        </w:rPr>
        <w:t>0</w:t>
      </w:r>
      <w:r w:rsidRPr="000C3365">
        <w:rPr>
          <w:rFonts w:asciiTheme="minorHAnsi" w:hAnsiTheme="minorHAnsi" w:cstheme="minorHAnsi"/>
          <w:b/>
          <w:color w:val="auto"/>
          <w:sz w:val="22"/>
        </w:rPr>
        <w:t>. Información sobre la Deuda y el R</w:t>
      </w:r>
      <w:r w:rsidR="005E231E" w:rsidRPr="000C3365">
        <w:rPr>
          <w:rFonts w:asciiTheme="minorHAnsi" w:hAnsiTheme="minorHAnsi" w:cstheme="minorHAnsi"/>
          <w:b/>
          <w:color w:val="auto"/>
          <w:sz w:val="22"/>
        </w:rPr>
        <w:t>eporte Analítico de la Deuda:</w:t>
      </w:r>
      <w:bookmarkEnd w:id="41"/>
    </w:p>
    <w:p w14:paraId="27337031" w14:textId="77777777" w:rsidR="007D1E76" w:rsidRPr="00E74967" w:rsidRDefault="007D1E76" w:rsidP="00CB41C4">
      <w:pPr>
        <w:tabs>
          <w:tab w:val="left" w:leader="underscore" w:pos="9639"/>
        </w:tabs>
        <w:spacing w:after="0" w:line="240" w:lineRule="auto"/>
        <w:jc w:val="both"/>
        <w:rPr>
          <w:rFonts w:cs="Calibri"/>
        </w:rPr>
      </w:pPr>
    </w:p>
    <w:p w14:paraId="7B63D2E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3F9DDBBA" w14:textId="77777777" w:rsidR="007D1E76" w:rsidRDefault="007D1E76" w:rsidP="00CB41C4">
      <w:pPr>
        <w:tabs>
          <w:tab w:val="left" w:leader="underscore" w:pos="9639"/>
        </w:tabs>
        <w:spacing w:after="0" w:line="240" w:lineRule="auto"/>
        <w:jc w:val="both"/>
        <w:rPr>
          <w:rFonts w:cs="Calibri"/>
        </w:rPr>
      </w:pPr>
    </w:p>
    <w:p w14:paraId="5DBEEC49" w14:textId="4BB3A7CB" w:rsidR="00FB26C7" w:rsidRDefault="00FB26C7" w:rsidP="00CB41C4">
      <w:pPr>
        <w:tabs>
          <w:tab w:val="left" w:leader="underscore" w:pos="9639"/>
        </w:tabs>
        <w:spacing w:after="0" w:line="240" w:lineRule="auto"/>
        <w:jc w:val="both"/>
        <w:rPr>
          <w:rFonts w:cs="Calibri"/>
        </w:rPr>
      </w:pPr>
      <w:r w:rsidRPr="00FB26C7">
        <w:rPr>
          <w:rFonts w:cs="Calibri"/>
        </w:rPr>
        <w:t>“Esta nota no le aplica al ente público”</w:t>
      </w:r>
    </w:p>
    <w:p w14:paraId="106CE7F0" w14:textId="77777777" w:rsidR="00FB26C7" w:rsidRPr="00E74967" w:rsidRDefault="00FB26C7"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67DDEBBA" w14:textId="00AEA81A"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47A92FC9" w14:textId="77777777" w:rsidR="007D1E76" w:rsidRPr="00E74967" w:rsidRDefault="007D1E76" w:rsidP="00CB41C4">
      <w:pPr>
        <w:tabs>
          <w:tab w:val="left" w:leader="underscore" w:pos="9639"/>
        </w:tabs>
        <w:spacing w:after="0" w:line="240" w:lineRule="auto"/>
        <w:jc w:val="both"/>
        <w:rPr>
          <w:rFonts w:cs="Calibri"/>
        </w:rPr>
      </w:pPr>
    </w:p>
    <w:p w14:paraId="30E4FF16" w14:textId="59A3D749" w:rsidR="00FB26C7" w:rsidRDefault="00FB26C7" w:rsidP="00CB41C4">
      <w:pPr>
        <w:tabs>
          <w:tab w:val="left" w:leader="underscore" w:pos="9639"/>
        </w:tabs>
        <w:spacing w:after="0" w:line="240" w:lineRule="auto"/>
        <w:jc w:val="both"/>
        <w:rPr>
          <w:rFonts w:cs="Calibri"/>
        </w:rPr>
      </w:pPr>
      <w:r w:rsidRPr="00FB26C7">
        <w:rPr>
          <w:rFonts w:cs="Calibri"/>
        </w:rPr>
        <w:t>“Esta nota no le aplica al ente público”</w:t>
      </w:r>
    </w:p>
    <w:p w14:paraId="58C09C14" w14:textId="77777777" w:rsidR="00FB26C7" w:rsidRPr="00E74967" w:rsidRDefault="00FB26C7" w:rsidP="00CB41C4">
      <w:pPr>
        <w:tabs>
          <w:tab w:val="left" w:leader="underscore" w:pos="9639"/>
        </w:tabs>
        <w:spacing w:after="0" w:line="240" w:lineRule="auto"/>
        <w:jc w:val="both"/>
        <w:rPr>
          <w:rFonts w:cs="Calibri"/>
        </w:rPr>
      </w:pPr>
    </w:p>
    <w:p w14:paraId="19C64A34" w14:textId="7E11CC12" w:rsidR="007D1E76" w:rsidRPr="000C3365" w:rsidRDefault="007D1E76" w:rsidP="000C3365">
      <w:pPr>
        <w:pStyle w:val="Ttulo2"/>
        <w:rPr>
          <w:rFonts w:asciiTheme="minorHAnsi" w:hAnsiTheme="minorHAnsi" w:cstheme="minorHAnsi"/>
          <w:b/>
          <w:color w:val="auto"/>
          <w:sz w:val="22"/>
        </w:rPr>
      </w:pPr>
      <w:bookmarkStart w:id="42" w:name="_Toc161472876"/>
      <w:r w:rsidRPr="000C3365">
        <w:rPr>
          <w:rFonts w:asciiTheme="minorHAnsi" w:hAnsiTheme="minorHAnsi" w:cstheme="minorHAnsi"/>
          <w:b/>
          <w:color w:val="auto"/>
          <w:sz w:val="22"/>
        </w:rPr>
        <w:lastRenderedPageBreak/>
        <w:t>1</w:t>
      </w:r>
      <w:r w:rsidR="005F2900">
        <w:rPr>
          <w:rFonts w:asciiTheme="minorHAnsi" w:hAnsiTheme="minorHAnsi" w:cstheme="minorHAnsi"/>
          <w:b/>
          <w:color w:val="auto"/>
          <w:sz w:val="22"/>
        </w:rPr>
        <w:t>1</w:t>
      </w:r>
      <w:r w:rsidRPr="000C3365">
        <w:rPr>
          <w:rFonts w:asciiTheme="minorHAnsi" w:hAnsiTheme="minorHAnsi" w:cstheme="minorHAnsi"/>
          <w:b/>
          <w:color w:val="auto"/>
          <w:sz w:val="22"/>
        </w:rPr>
        <w:t>.</w:t>
      </w:r>
      <w:r w:rsidR="005E231E" w:rsidRPr="000C3365">
        <w:rPr>
          <w:rFonts w:asciiTheme="minorHAnsi" w:hAnsiTheme="minorHAnsi" w:cstheme="minorHAnsi"/>
          <w:b/>
          <w:color w:val="auto"/>
          <w:sz w:val="22"/>
        </w:rPr>
        <w:t xml:space="preserve"> Calificaciones otorgadas:</w:t>
      </w:r>
      <w:bookmarkEnd w:id="42"/>
    </w:p>
    <w:p w14:paraId="67197CE9" w14:textId="77777777" w:rsidR="007D1E76" w:rsidRPr="00E74967" w:rsidRDefault="007D1E76" w:rsidP="00CB41C4">
      <w:pPr>
        <w:tabs>
          <w:tab w:val="left" w:leader="underscore" w:pos="9639"/>
        </w:tabs>
        <w:spacing w:after="0" w:line="240" w:lineRule="auto"/>
        <w:jc w:val="both"/>
        <w:rPr>
          <w:rFonts w:cs="Calibri"/>
        </w:rPr>
      </w:pPr>
    </w:p>
    <w:p w14:paraId="57D9F68C" w14:textId="77777777" w:rsidR="007D1E76" w:rsidRDefault="007D1E76" w:rsidP="00CB41C4">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502D0420" w14:textId="77777777" w:rsidR="00FB26C7" w:rsidRPr="00E74967" w:rsidRDefault="00FB26C7" w:rsidP="00CB41C4">
      <w:pPr>
        <w:tabs>
          <w:tab w:val="left" w:leader="underscore" w:pos="9639"/>
        </w:tabs>
        <w:spacing w:after="0" w:line="240" w:lineRule="auto"/>
        <w:jc w:val="both"/>
        <w:rPr>
          <w:rFonts w:cs="Calibri"/>
        </w:rPr>
      </w:pPr>
    </w:p>
    <w:p w14:paraId="6B02EAB0" w14:textId="4F0206DD" w:rsidR="007D1E76" w:rsidRPr="00E74967" w:rsidRDefault="00FB26C7" w:rsidP="00CB41C4">
      <w:pPr>
        <w:tabs>
          <w:tab w:val="left" w:leader="underscore" w:pos="9639"/>
        </w:tabs>
        <w:spacing w:after="0" w:line="240" w:lineRule="auto"/>
        <w:jc w:val="both"/>
        <w:rPr>
          <w:rFonts w:cs="Calibri"/>
        </w:rPr>
      </w:pPr>
      <w:r w:rsidRPr="00FB26C7">
        <w:rPr>
          <w:rFonts w:cs="Calibri"/>
        </w:rPr>
        <w:t>“Esta nota no le aplica al ente público”</w:t>
      </w: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FFDB478" w:rsidR="007D1E76" w:rsidRPr="000C3365" w:rsidRDefault="007D1E76" w:rsidP="000C3365">
      <w:pPr>
        <w:pStyle w:val="Ttulo2"/>
        <w:rPr>
          <w:rFonts w:asciiTheme="minorHAnsi" w:hAnsiTheme="minorHAnsi" w:cstheme="minorHAnsi"/>
          <w:b/>
          <w:color w:val="auto"/>
          <w:sz w:val="22"/>
        </w:rPr>
      </w:pPr>
      <w:bookmarkStart w:id="43" w:name="_Toc161472877"/>
      <w:r w:rsidRPr="000C3365">
        <w:rPr>
          <w:rFonts w:asciiTheme="minorHAnsi" w:hAnsiTheme="minorHAnsi" w:cstheme="minorHAnsi"/>
          <w:b/>
          <w:color w:val="auto"/>
          <w:sz w:val="22"/>
        </w:rPr>
        <w:t>1</w:t>
      </w:r>
      <w:r w:rsidR="00F6759B">
        <w:rPr>
          <w:rFonts w:asciiTheme="minorHAnsi" w:hAnsiTheme="minorHAnsi" w:cstheme="minorHAnsi"/>
          <w:b/>
          <w:color w:val="auto"/>
          <w:sz w:val="22"/>
        </w:rPr>
        <w:t>2</w:t>
      </w:r>
      <w:r w:rsidRPr="000C3365">
        <w:rPr>
          <w:rFonts w:asciiTheme="minorHAnsi" w:hAnsiTheme="minorHAnsi" w:cstheme="minorHAnsi"/>
          <w:b/>
          <w:color w:val="auto"/>
          <w:sz w:val="22"/>
        </w:rPr>
        <w:t>. Proceso de Mejora:</w:t>
      </w:r>
      <w:bookmarkEnd w:id="43"/>
    </w:p>
    <w:p w14:paraId="0251CC47" w14:textId="77777777" w:rsidR="007D1E76" w:rsidRPr="00E74967" w:rsidRDefault="007D1E76" w:rsidP="00CB41C4">
      <w:pPr>
        <w:tabs>
          <w:tab w:val="left" w:leader="underscore" w:pos="9639"/>
        </w:tabs>
        <w:spacing w:after="0" w:line="240" w:lineRule="auto"/>
        <w:jc w:val="both"/>
        <w:rPr>
          <w:rFonts w:cs="Calibri"/>
        </w:rPr>
      </w:pPr>
    </w:p>
    <w:p w14:paraId="738F954F" w14:textId="77777777" w:rsidR="00FB26C7" w:rsidRPr="00FA379D" w:rsidRDefault="00FB26C7" w:rsidP="00FB26C7">
      <w:pPr>
        <w:tabs>
          <w:tab w:val="left" w:leader="underscore" w:pos="9639"/>
        </w:tabs>
        <w:jc w:val="both"/>
        <w:rPr>
          <w:rFonts w:ascii="Arial" w:hAnsi="Arial" w:cs="Arial"/>
          <w:sz w:val="20"/>
          <w:szCs w:val="20"/>
        </w:rPr>
      </w:pPr>
      <w:r w:rsidRPr="00FA379D">
        <w:rPr>
          <w:rFonts w:ascii="Arial" w:hAnsi="Arial" w:cs="Arial"/>
          <w:sz w:val="20"/>
          <w:szCs w:val="20"/>
        </w:rPr>
        <w:t>Se informará de:</w:t>
      </w:r>
    </w:p>
    <w:p w14:paraId="665FE76A" w14:textId="77777777" w:rsidR="00FB26C7" w:rsidRPr="00FA379D" w:rsidRDefault="00FB26C7" w:rsidP="00FB26C7">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Principales Políticas de control interno:</w:t>
      </w:r>
    </w:p>
    <w:p w14:paraId="083DC71F" w14:textId="77777777" w:rsidR="00FB26C7" w:rsidRPr="00FA379D" w:rsidRDefault="00FB26C7" w:rsidP="00FB26C7">
      <w:pPr>
        <w:tabs>
          <w:tab w:val="left" w:leader="underscore" w:pos="9639"/>
        </w:tabs>
        <w:jc w:val="both"/>
        <w:rPr>
          <w:rFonts w:ascii="Arial" w:hAnsi="Arial" w:cs="Arial"/>
          <w:sz w:val="20"/>
          <w:szCs w:val="20"/>
        </w:rPr>
      </w:pPr>
      <w:r w:rsidRPr="00FA379D">
        <w:rPr>
          <w:rFonts w:ascii="Arial" w:hAnsi="Arial" w:cs="Arial"/>
          <w:sz w:val="20"/>
          <w:szCs w:val="20"/>
        </w:rPr>
        <w:t>Disposiciones administrativas emitidas por la Secretaría de Finanzas y Administración para el año vigente, así como la normativa aplicable en materia del ingreso y gasto.</w:t>
      </w:r>
    </w:p>
    <w:p w14:paraId="450C9C2B" w14:textId="77777777" w:rsidR="00FB26C7" w:rsidRPr="00FA379D" w:rsidRDefault="00FB26C7" w:rsidP="00FB26C7">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Medidas de desempeño financiero, metas y alcance:</w:t>
      </w:r>
    </w:p>
    <w:p w14:paraId="0FD00866" w14:textId="77777777" w:rsidR="00FB26C7" w:rsidRPr="00FA379D" w:rsidRDefault="00FB26C7" w:rsidP="00FB26C7">
      <w:pPr>
        <w:tabs>
          <w:tab w:val="left" w:leader="underscore" w:pos="9639"/>
        </w:tabs>
        <w:jc w:val="both"/>
        <w:rPr>
          <w:rFonts w:ascii="Arial" w:hAnsi="Arial" w:cs="Arial"/>
          <w:sz w:val="20"/>
          <w:szCs w:val="20"/>
        </w:rPr>
      </w:pPr>
      <w:r w:rsidRPr="00FA379D">
        <w:rPr>
          <w:rFonts w:ascii="Arial" w:hAnsi="Arial" w:cs="Arial"/>
          <w:sz w:val="20"/>
          <w:szCs w:val="20"/>
        </w:rPr>
        <w:t>Derivado de la Actividad del Instituto que es la construcción-rehabilitación de espacios educativos se requiere de un monitoreo constante tanto de los recursos asignados en la Ley de ingresos como de los convenios efectuados con las diferentes entidades educativas, por lo que mensualmente se realizan conciliaciones de avances físico-financieros de las obras para comparar el avance real con el programado al inicio de año y en base a los resultados obtenidos hasta ese momento se toman decisiones con respecto a los programas de ejecución de la obra.</w:t>
      </w:r>
    </w:p>
    <w:p w14:paraId="3ADEDE50" w14:textId="77777777" w:rsidR="00FB26C7" w:rsidRPr="004E151F" w:rsidRDefault="00FB26C7" w:rsidP="00FB26C7">
      <w:pPr>
        <w:tabs>
          <w:tab w:val="left" w:leader="underscore" w:pos="9639"/>
        </w:tabs>
        <w:jc w:val="both"/>
        <w:rPr>
          <w:rFonts w:ascii="Arial" w:hAnsi="Arial" w:cs="Arial"/>
          <w:sz w:val="20"/>
          <w:szCs w:val="20"/>
        </w:rPr>
      </w:pPr>
      <w:r w:rsidRPr="00FA379D">
        <w:rPr>
          <w:rFonts w:ascii="Arial" w:hAnsi="Arial" w:cs="Arial"/>
          <w:sz w:val="20"/>
          <w:szCs w:val="20"/>
        </w:rPr>
        <w:t>Aunado a lo anterior se trabaja mediante el sistema de evaluación al desempeño, donde se monitorea por parte de la Secretaría de Finanzas Inversión y Administración el avance de las metas.</w:t>
      </w:r>
    </w:p>
    <w:p w14:paraId="6DD757EA" w14:textId="77777777" w:rsidR="007D1E76" w:rsidRPr="00E74967" w:rsidRDefault="007D1E76" w:rsidP="00CB41C4">
      <w:pPr>
        <w:tabs>
          <w:tab w:val="left" w:leader="underscore" w:pos="9639"/>
        </w:tabs>
        <w:spacing w:after="0" w:line="240" w:lineRule="auto"/>
        <w:jc w:val="both"/>
        <w:rPr>
          <w:rFonts w:cs="Calibri"/>
        </w:rPr>
      </w:pPr>
    </w:p>
    <w:p w14:paraId="795495BA" w14:textId="77777777" w:rsidR="007D1E76" w:rsidRPr="00E74967" w:rsidRDefault="007D1E76" w:rsidP="00CB41C4">
      <w:pPr>
        <w:tabs>
          <w:tab w:val="left" w:leader="underscore" w:pos="9639"/>
        </w:tabs>
        <w:spacing w:after="0" w:line="240" w:lineRule="auto"/>
        <w:jc w:val="both"/>
        <w:rPr>
          <w:rFonts w:cs="Calibri"/>
        </w:rPr>
      </w:pPr>
    </w:p>
    <w:p w14:paraId="3D010C2A" w14:textId="279F5D07" w:rsidR="007D1E76" w:rsidRPr="000C3365" w:rsidRDefault="007D1E76" w:rsidP="000C3365">
      <w:pPr>
        <w:pStyle w:val="Ttulo2"/>
        <w:rPr>
          <w:rFonts w:asciiTheme="minorHAnsi" w:hAnsiTheme="minorHAnsi" w:cstheme="minorHAnsi"/>
          <w:b/>
          <w:color w:val="auto"/>
          <w:sz w:val="22"/>
        </w:rPr>
      </w:pPr>
      <w:bookmarkStart w:id="44" w:name="_Toc161472878"/>
      <w:r w:rsidRPr="000C3365">
        <w:rPr>
          <w:rFonts w:asciiTheme="minorHAnsi" w:hAnsiTheme="minorHAnsi" w:cstheme="minorHAnsi"/>
          <w:b/>
          <w:color w:val="auto"/>
          <w:sz w:val="22"/>
        </w:rPr>
        <w:t>1</w:t>
      </w:r>
      <w:r w:rsidR="00F6759B">
        <w:rPr>
          <w:rFonts w:asciiTheme="minorHAnsi" w:hAnsiTheme="minorHAnsi" w:cstheme="minorHAnsi"/>
          <w:b/>
          <w:color w:val="auto"/>
          <w:sz w:val="22"/>
        </w:rPr>
        <w:t>3</w:t>
      </w:r>
      <w:r w:rsidR="005E231E" w:rsidRPr="000C3365">
        <w:rPr>
          <w:rFonts w:asciiTheme="minorHAnsi" w:hAnsiTheme="minorHAnsi" w:cstheme="minorHAnsi"/>
          <w:b/>
          <w:color w:val="auto"/>
          <w:sz w:val="22"/>
        </w:rPr>
        <w:t>. Información por Segmentos:</w:t>
      </w:r>
      <w:bookmarkEnd w:id="44"/>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46D52ADD" w:rsidR="007D1E76" w:rsidRPr="00E74967" w:rsidRDefault="00806269" w:rsidP="00CB41C4">
      <w:pPr>
        <w:tabs>
          <w:tab w:val="left" w:leader="underscore" w:pos="9639"/>
        </w:tabs>
        <w:spacing w:after="0" w:line="240" w:lineRule="auto"/>
        <w:jc w:val="both"/>
        <w:rPr>
          <w:rFonts w:cs="Calibri"/>
        </w:rPr>
      </w:pPr>
      <w:r w:rsidRPr="00806269">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r w:rsidR="007D1E76" w:rsidRPr="00E74967">
        <w:rPr>
          <w:rFonts w:cs="Calibri"/>
        </w:rPr>
        <w:t>.</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4054793D" w14:textId="77777777" w:rsidR="007D1E76" w:rsidRPr="00E74967" w:rsidRDefault="007D1E76" w:rsidP="00CB41C4">
      <w:pPr>
        <w:tabs>
          <w:tab w:val="left" w:leader="underscore" w:pos="9639"/>
        </w:tabs>
        <w:spacing w:after="0" w:line="240" w:lineRule="auto"/>
        <w:jc w:val="both"/>
        <w:rPr>
          <w:rFonts w:cs="Calibri"/>
        </w:rPr>
      </w:pPr>
    </w:p>
    <w:p w14:paraId="03BBF660" w14:textId="77777777" w:rsidR="007D1E76" w:rsidRDefault="007D1E76" w:rsidP="00CB41C4">
      <w:pPr>
        <w:tabs>
          <w:tab w:val="left" w:leader="underscore" w:pos="9639"/>
        </w:tabs>
        <w:spacing w:after="0" w:line="240" w:lineRule="auto"/>
        <w:jc w:val="both"/>
        <w:rPr>
          <w:rFonts w:cs="Calibri"/>
        </w:rPr>
      </w:pPr>
    </w:p>
    <w:p w14:paraId="286AB433" w14:textId="77777777" w:rsidR="00771648" w:rsidRDefault="00771648" w:rsidP="00CB41C4">
      <w:pPr>
        <w:tabs>
          <w:tab w:val="left" w:leader="underscore" w:pos="9639"/>
        </w:tabs>
        <w:spacing w:after="0" w:line="240" w:lineRule="auto"/>
        <w:jc w:val="both"/>
        <w:rPr>
          <w:rFonts w:cs="Calibri"/>
        </w:rPr>
      </w:pPr>
    </w:p>
    <w:p w14:paraId="49C10F45" w14:textId="77777777" w:rsidR="00771648" w:rsidRDefault="00771648" w:rsidP="00CB41C4">
      <w:pPr>
        <w:tabs>
          <w:tab w:val="left" w:leader="underscore" w:pos="9639"/>
        </w:tabs>
        <w:spacing w:after="0" w:line="240" w:lineRule="auto"/>
        <w:jc w:val="both"/>
        <w:rPr>
          <w:rFonts w:cs="Calibri"/>
        </w:rPr>
      </w:pPr>
    </w:p>
    <w:p w14:paraId="4434735D" w14:textId="77777777" w:rsidR="00771648" w:rsidRDefault="00771648" w:rsidP="00CB41C4">
      <w:pPr>
        <w:tabs>
          <w:tab w:val="left" w:leader="underscore" w:pos="9639"/>
        </w:tabs>
        <w:spacing w:after="0" w:line="240" w:lineRule="auto"/>
        <w:jc w:val="both"/>
        <w:rPr>
          <w:rFonts w:cs="Calibri"/>
        </w:rPr>
      </w:pPr>
    </w:p>
    <w:p w14:paraId="09EA532F" w14:textId="77777777" w:rsidR="00771648" w:rsidRPr="00E74967" w:rsidRDefault="00771648" w:rsidP="00CB41C4">
      <w:pPr>
        <w:tabs>
          <w:tab w:val="left" w:leader="underscore" w:pos="9639"/>
        </w:tabs>
        <w:spacing w:after="0" w:line="240" w:lineRule="auto"/>
        <w:jc w:val="both"/>
        <w:rPr>
          <w:rFonts w:cs="Calibri"/>
        </w:rPr>
      </w:pPr>
    </w:p>
    <w:p w14:paraId="5CE772DA" w14:textId="7AAD6A4E" w:rsidR="007D1E76" w:rsidRPr="000C3365" w:rsidRDefault="007D1E76" w:rsidP="000C3365">
      <w:pPr>
        <w:pStyle w:val="Ttulo2"/>
        <w:rPr>
          <w:rFonts w:asciiTheme="minorHAnsi" w:hAnsiTheme="minorHAnsi" w:cstheme="minorHAnsi"/>
          <w:b/>
          <w:color w:val="auto"/>
          <w:sz w:val="22"/>
        </w:rPr>
      </w:pPr>
      <w:bookmarkStart w:id="45" w:name="_Toc161472879"/>
      <w:r w:rsidRPr="000C3365">
        <w:rPr>
          <w:rFonts w:asciiTheme="minorHAnsi" w:hAnsiTheme="minorHAnsi" w:cstheme="minorHAnsi"/>
          <w:b/>
          <w:color w:val="auto"/>
          <w:sz w:val="22"/>
        </w:rPr>
        <w:lastRenderedPageBreak/>
        <w:t>1</w:t>
      </w:r>
      <w:r w:rsidR="004A1077">
        <w:rPr>
          <w:rFonts w:asciiTheme="minorHAnsi" w:hAnsiTheme="minorHAnsi" w:cstheme="minorHAnsi"/>
          <w:b/>
          <w:color w:val="auto"/>
          <w:sz w:val="22"/>
        </w:rPr>
        <w:t>4</w:t>
      </w:r>
      <w:r w:rsidRPr="000C3365">
        <w:rPr>
          <w:rFonts w:asciiTheme="minorHAnsi" w:hAnsiTheme="minorHAnsi" w:cstheme="minorHAnsi"/>
          <w:b/>
          <w:color w:val="auto"/>
          <w:sz w:val="22"/>
        </w:rPr>
        <w:t>. E</w:t>
      </w:r>
      <w:r w:rsidR="005E231E" w:rsidRPr="000C3365">
        <w:rPr>
          <w:rFonts w:asciiTheme="minorHAnsi" w:hAnsiTheme="minorHAnsi" w:cstheme="minorHAnsi"/>
          <w:b/>
          <w:color w:val="auto"/>
          <w:sz w:val="22"/>
        </w:rPr>
        <w:t>ventos Posteriores al Cierre:</w:t>
      </w:r>
      <w:bookmarkEnd w:id="45"/>
    </w:p>
    <w:p w14:paraId="362DF4F4" w14:textId="77777777" w:rsidR="007D1E76" w:rsidRPr="00E74967" w:rsidRDefault="007D1E76" w:rsidP="00CB41C4">
      <w:pPr>
        <w:tabs>
          <w:tab w:val="left" w:leader="underscore" w:pos="9639"/>
        </w:tabs>
        <w:spacing w:after="0" w:line="240" w:lineRule="auto"/>
        <w:jc w:val="both"/>
        <w:rPr>
          <w:rFonts w:cs="Calibri"/>
        </w:rPr>
      </w:pPr>
    </w:p>
    <w:p w14:paraId="6268D065" w14:textId="278FF3D9" w:rsidR="001C34BC" w:rsidRDefault="007D1E76" w:rsidP="001C34BC">
      <w:pPr>
        <w:tabs>
          <w:tab w:val="left" w:leader="underscore" w:pos="9639"/>
        </w:tabs>
        <w:spacing w:after="0" w:line="240" w:lineRule="auto"/>
        <w:jc w:val="both"/>
        <w:rPr>
          <w:rFonts w:cs="Calibri"/>
        </w:rPr>
      </w:pPr>
      <w:r w:rsidRPr="00E74967">
        <w:rPr>
          <w:rFonts w:cs="Calibri"/>
        </w:rPr>
        <w:t>El ente público informará el efecto en sus estados financieros de aquellos hechos ocurridos en el período posterior al que informa, que proporcionan mayor evidencia sobre eventos que le afectan económicamente y que no se cono</w:t>
      </w:r>
      <w:r w:rsidR="005E231E" w:rsidRPr="00E74967">
        <w:rPr>
          <w:rFonts w:cs="Calibri"/>
        </w:rPr>
        <w:t>cían a la fecha de cierre.</w:t>
      </w:r>
      <w:r w:rsidR="005E231E" w:rsidRPr="00E74967">
        <w:rPr>
          <w:rFonts w:cs="Calibri"/>
        </w:rPr>
        <w:cr/>
      </w:r>
    </w:p>
    <w:p w14:paraId="547C48C9" w14:textId="44191D0E" w:rsidR="00771648" w:rsidRDefault="00771648" w:rsidP="001C34BC">
      <w:pPr>
        <w:tabs>
          <w:tab w:val="left" w:leader="underscore" w:pos="9639"/>
        </w:tabs>
        <w:spacing w:after="0" w:line="240" w:lineRule="auto"/>
        <w:jc w:val="both"/>
        <w:rPr>
          <w:rFonts w:cs="Calibri"/>
        </w:rPr>
      </w:pPr>
      <w:r>
        <w:rPr>
          <w:rFonts w:cs="Calibri"/>
        </w:rPr>
        <w:t>Se detecta variación en el estado de situación financiera en la parte del activo circulante,</w:t>
      </w:r>
      <w:r w:rsidR="005F3AF8">
        <w:t xml:space="preserve"> </w:t>
      </w:r>
      <w:r>
        <w:t>rubro de “</w:t>
      </w:r>
      <w:r w:rsidRPr="00771648">
        <w:rPr>
          <w:rFonts w:cs="Calibri"/>
        </w:rPr>
        <w:t>Bienes Inmuebles, Infraestructura y Construcciones en Proceso</w:t>
      </w:r>
      <w:r>
        <w:rPr>
          <w:rFonts w:cs="Calibri"/>
        </w:rPr>
        <w:t>”</w:t>
      </w:r>
      <w:r w:rsidR="00945FD2">
        <w:rPr>
          <w:rFonts w:cs="Calibri"/>
        </w:rPr>
        <w:t xml:space="preserve"> así como en su respectiva nota </w:t>
      </w:r>
      <w:r w:rsidR="00945FD2" w:rsidRPr="00945FD2">
        <w:rPr>
          <w:rFonts w:cs="Calibri"/>
        </w:rPr>
        <w:t xml:space="preserve">ESF-08 BIENES MUEBLES E </w:t>
      </w:r>
      <w:r w:rsidR="00945FD2" w:rsidRPr="00945FD2">
        <w:rPr>
          <w:rFonts w:cs="Calibri"/>
        </w:rPr>
        <w:t>INMUEBLES</w:t>
      </w:r>
      <w:r w:rsidR="00945FD2">
        <w:rPr>
          <w:rFonts w:cs="Calibri"/>
        </w:rPr>
        <w:t xml:space="preserve"> (1236</w:t>
      </w:r>
      <w:r w:rsidR="005F3AF8">
        <w:rPr>
          <w:rFonts w:cs="Calibri"/>
        </w:rPr>
        <w:t xml:space="preserve"> </w:t>
      </w:r>
      <w:r w:rsidR="00945FD2" w:rsidRPr="00945FD2">
        <w:rPr>
          <w:rFonts w:cs="Calibri"/>
        </w:rPr>
        <w:t>Construcciones en Proceso en Bienes Propios</w:t>
      </w:r>
      <w:r w:rsidR="00945FD2">
        <w:rPr>
          <w:rFonts w:cs="Calibri"/>
        </w:rPr>
        <w:t>)</w:t>
      </w:r>
      <w:r w:rsidR="00B87EAF">
        <w:rPr>
          <w:rFonts w:cs="Calibri"/>
        </w:rPr>
        <w:t xml:space="preserve"> por la cantidad de $</w:t>
      </w:r>
      <w:r w:rsidR="00B87EAF" w:rsidRPr="00B87EAF">
        <w:rPr>
          <w:rFonts w:cs="Calibri"/>
        </w:rPr>
        <w:t>6,327,080.23</w:t>
      </w:r>
      <w:r w:rsidR="00B87EAF">
        <w:rPr>
          <w:rFonts w:cs="Calibri"/>
        </w:rPr>
        <w:t xml:space="preserve"> (seis millones trescientos veintisiete mil ochenta pesos 23/100 MN) derivado a la cancelación de transferencia</w:t>
      </w:r>
      <w:r w:rsidR="005F3AF8">
        <w:rPr>
          <w:rFonts w:cs="Calibri"/>
        </w:rPr>
        <w:t xml:space="preserve">s </w:t>
      </w:r>
      <w:r w:rsidR="00B87EAF">
        <w:rPr>
          <w:rFonts w:cs="Calibri"/>
        </w:rPr>
        <w:t>de</w:t>
      </w:r>
      <w:r w:rsidR="005F3AF8">
        <w:rPr>
          <w:rFonts w:cs="Calibri"/>
        </w:rPr>
        <w:t xml:space="preserve"> activos </w:t>
      </w:r>
      <w:r w:rsidR="005F3AF8" w:rsidRPr="005F3AF8">
        <w:rPr>
          <w:rFonts w:cs="Calibri"/>
        </w:rPr>
        <w:t xml:space="preserve"> por diferencias en caratula finiquito y acta total </w:t>
      </w:r>
      <w:r w:rsidR="00B4354D">
        <w:rPr>
          <w:rFonts w:cs="Calibri"/>
        </w:rPr>
        <w:t>de igual forma</w:t>
      </w:r>
      <w:r w:rsidR="005F3AF8" w:rsidRPr="005F3AF8">
        <w:rPr>
          <w:rFonts w:cs="Calibri"/>
        </w:rPr>
        <w:t xml:space="preserve"> algunos activos fijos son de diferente</w:t>
      </w:r>
      <w:r w:rsidR="005F3AF8">
        <w:rPr>
          <w:rFonts w:cs="Calibri"/>
        </w:rPr>
        <w:t xml:space="preserve"> partida presupuestaria</w:t>
      </w:r>
      <w:r w:rsidR="005F3AF8" w:rsidRPr="005F3AF8">
        <w:rPr>
          <w:rFonts w:cs="Calibri"/>
        </w:rPr>
        <w:t xml:space="preserve"> 6279</w:t>
      </w:r>
      <w:r w:rsidR="005F3AF8">
        <w:rPr>
          <w:rFonts w:cs="Calibri"/>
        </w:rPr>
        <w:t>, los cuales deberían averse registrado en una cuenta de mayor diferente la cual</w:t>
      </w:r>
      <w:r w:rsidR="005F3AF8" w:rsidRPr="005F3AF8">
        <w:rPr>
          <w:rFonts w:cs="Calibri"/>
        </w:rPr>
        <w:t xml:space="preserve"> aún no </w:t>
      </w:r>
      <w:r w:rsidR="00B4354D">
        <w:rPr>
          <w:rFonts w:cs="Calibri"/>
        </w:rPr>
        <w:t>había</w:t>
      </w:r>
      <w:r w:rsidR="005F3AF8" w:rsidRPr="005F3AF8">
        <w:rPr>
          <w:rFonts w:cs="Calibri"/>
        </w:rPr>
        <w:t xml:space="preserve"> sido creada</w:t>
      </w:r>
      <w:r w:rsidR="00B4354D">
        <w:rPr>
          <w:rFonts w:cs="Calibri"/>
        </w:rPr>
        <w:t xml:space="preserve"> al 31 de diciembre de 2023.</w:t>
      </w:r>
    </w:p>
    <w:p w14:paraId="4DF2B607" w14:textId="77777777" w:rsidR="00B4354D" w:rsidRDefault="00B4354D" w:rsidP="001C34BC">
      <w:pPr>
        <w:tabs>
          <w:tab w:val="left" w:leader="underscore" w:pos="9639"/>
        </w:tabs>
        <w:spacing w:after="0" w:line="240" w:lineRule="auto"/>
        <w:jc w:val="both"/>
        <w:rPr>
          <w:rFonts w:cs="Calibri"/>
        </w:rPr>
      </w:pPr>
    </w:p>
    <w:p w14:paraId="43A40AAD" w14:textId="73C1EDDE" w:rsidR="00B4354D" w:rsidRDefault="00B4354D" w:rsidP="00B4354D">
      <w:pPr>
        <w:tabs>
          <w:tab w:val="left" w:leader="underscore" w:pos="9639"/>
        </w:tabs>
        <w:jc w:val="both"/>
        <w:rPr>
          <w:rFonts w:ascii="Arial" w:hAnsi="Arial" w:cs="Arial"/>
          <w:sz w:val="20"/>
          <w:szCs w:val="20"/>
        </w:rPr>
      </w:pPr>
      <w:r>
        <w:rPr>
          <w:rFonts w:ascii="Arial" w:hAnsi="Arial" w:cs="Arial"/>
          <w:sz w:val="20"/>
          <w:szCs w:val="20"/>
        </w:rPr>
        <w:t>N</w:t>
      </w:r>
      <w:r>
        <w:rPr>
          <w:rFonts w:ascii="Arial" w:hAnsi="Arial" w:cs="Arial"/>
          <w:sz w:val="20"/>
          <w:szCs w:val="20"/>
        </w:rPr>
        <w:t>o existen eventos posteriores al cierre al 31 de marzo de 2024.</w:t>
      </w:r>
    </w:p>
    <w:p w14:paraId="55D08D4D" w14:textId="77777777" w:rsidR="007D1E76" w:rsidRPr="00E74967" w:rsidRDefault="007D1E76" w:rsidP="00CB41C4">
      <w:pPr>
        <w:tabs>
          <w:tab w:val="left" w:leader="underscore" w:pos="9639"/>
        </w:tabs>
        <w:spacing w:after="0" w:line="240" w:lineRule="auto"/>
        <w:jc w:val="both"/>
        <w:rPr>
          <w:rFonts w:cs="Calibri"/>
        </w:rPr>
      </w:pPr>
    </w:p>
    <w:p w14:paraId="3CC9AECC" w14:textId="4681A2A9" w:rsidR="007D1E76" w:rsidRPr="000C3365" w:rsidRDefault="005E231E" w:rsidP="000C3365">
      <w:pPr>
        <w:pStyle w:val="Ttulo2"/>
        <w:rPr>
          <w:rFonts w:asciiTheme="minorHAnsi" w:hAnsiTheme="minorHAnsi" w:cstheme="minorHAnsi"/>
          <w:b/>
          <w:color w:val="auto"/>
          <w:sz w:val="22"/>
        </w:rPr>
      </w:pPr>
      <w:bookmarkStart w:id="46" w:name="_Toc161472880"/>
      <w:r w:rsidRPr="000C3365">
        <w:rPr>
          <w:rFonts w:asciiTheme="minorHAnsi" w:hAnsiTheme="minorHAnsi" w:cstheme="minorHAnsi"/>
          <w:b/>
          <w:color w:val="auto"/>
          <w:sz w:val="22"/>
        </w:rPr>
        <w:t>1</w:t>
      </w:r>
      <w:r w:rsidR="001C34BC">
        <w:rPr>
          <w:rFonts w:asciiTheme="minorHAnsi" w:hAnsiTheme="minorHAnsi" w:cstheme="minorHAnsi"/>
          <w:b/>
          <w:color w:val="auto"/>
          <w:sz w:val="22"/>
        </w:rPr>
        <w:t>5</w:t>
      </w:r>
      <w:r w:rsidRPr="000C3365">
        <w:rPr>
          <w:rFonts w:asciiTheme="minorHAnsi" w:hAnsiTheme="minorHAnsi" w:cstheme="minorHAnsi"/>
          <w:b/>
          <w:color w:val="auto"/>
          <w:sz w:val="22"/>
        </w:rPr>
        <w:t>. Partes Relacionadas:</w:t>
      </w:r>
      <w:bookmarkEnd w:id="46"/>
    </w:p>
    <w:p w14:paraId="20438A33" w14:textId="77777777" w:rsidR="007D1E76" w:rsidRPr="00E74967" w:rsidRDefault="007D1E76" w:rsidP="00CB41C4">
      <w:pPr>
        <w:tabs>
          <w:tab w:val="left" w:leader="underscore" w:pos="9639"/>
        </w:tabs>
        <w:spacing w:after="0" w:line="240" w:lineRule="auto"/>
        <w:jc w:val="both"/>
        <w:rPr>
          <w:rFonts w:cs="Calibri"/>
        </w:rPr>
      </w:pPr>
    </w:p>
    <w:p w14:paraId="5A1981F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1F9AFC54" w14:textId="265B046A" w:rsidR="007D1E76" w:rsidRDefault="00FB26C7" w:rsidP="00CB41C4">
      <w:pPr>
        <w:tabs>
          <w:tab w:val="left" w:leader="underscore" w:pos="9639"/>
        </w:tabs>
        <w:spacing w:after="0" w:line="240" w:lineRule="auto"/>
        <w:jc w:val="both"/>
        <w:rPr>
          <w:rFonts w:cs="Calibri"/>
        </w:rPr>
      </w:pPr>
      <w:r>
        <w:rPr>
          <w:rFonts w:cs="Calibri"/>
        </w:rPr>
        <w:t xml:space="preserve">  </w:t>
      </w:r>
    </w:p>
    <w:p w14:paraId="17CEED12" w14:textId="1E286DF2" w:rsidR="007D1E76" w:rsidRDefault="00FB26C7" w:rsidP="00CB41C4">
      <w:pPr>
        <w:tabs>
          <w:tab w:val="left" w:leader="underscore" w:pos="9639"/>
        </w:tabs>
        <w:spacing w:after="0" w:line="240" w:lineRule="auto"/>
        <w:jc w:val="both"/>
        <w:rPr>
          <w:rFonts w:cs="Calibri"/>
        </w:rPr>
      </w:pPr>
      <w:r w:rsidRPr="00FB26C7">
        <w:rPr>
          <w:rFonts w:cs="Calibri"/>
        </w:rPr>
        <w:t>“Esta nota no le aplica al ente público”</w:t>
      </w:r>
    </w:p>
    <w:p w14:paraId="67B73C20" w14:textId="77777777" w:rsidR="00FB26C7" w:rsidRDefault="00FB26C7" w:rsidP="00CB41C4">
      <w:pPr>
        <w:tabs>
          <w:tab w:val="left" w:leader="underscore" w:pos="9639"/>
        </w:tabs>
        <w:spacing w:after="0" w:line="240" w:lineRule="auto"/>
        <w:jc w:val="both"/>
        <w:rPr>
          <w:rFonts w:cs="Calibri"/>
        </w:rPr>
      </w:pPr>
    </w:p>
    <w:p w14:paraId="097A708B" w14:textId="77777777" w:rsidR="00FB26C7" w:rsidRDefault="00FB26C7" w:rsidP="00CB41C4">
      <w:pPr>
        <w:tabs>
          <w:tab w:val="left" w:leader="underscore" w:pos="9639"/>
        </w:tabs>
        <w:spacing w:after="0" w:line="240" w:lineRule="auto"/>
        <w:jc w:val="both"/>
        <w:rPr>
          <w:rFonts w:cs="Calibri"/>
        </w:rPr>
      </w:pPr>
    </w:p>
    <w:p w14:paraId="575B9032" w14:textId="77777777" w:rsidR="00FB26C7" w:rsidRDefault="00FB26C7" w:rsidP="00CB41C4">
      <w:pPr>
        <w:tabs>
          <w:tab w:val="left" w:leader="underscore" w:pos="9639"/>
        </w:tabs>
        <w:spacing w:after="0" w:line="240" w:lineRule="auto"/>
        <w:jc w:val="both"/>
        <w:rPr>
          <w:rFonts w:cs="Calibri"/>
        </w:rPr>
      </w:pPr>
    </w:p>
    <w:p w14:paraId="181F2FBE" w14:textId="77777777" w:rsidR="00FB26C7" w:rsidRPr="00E74967" w:rsidRDefault="00FB26C7" w:rsidP="00CB41C4">
      <w:pPr>
        <w:tabs>
          <w:tab w:val="left" w:leader="underscore" w:pos="9639"/>
        </w:tabs>
        <w:spacing w:after="0" w:line="240" w:lineRule="auto"/>
        <w:jc w:val="both"/>
        <w:rPr>
          <w:rFonts w:cs="Calibri"/>
        </w:rPr>
      </w:pPr>
    </w:p>
    <w:p w14:paraId="78699B1C" w14:textId="77777777" w:rsidR="007D1E76" w:rsidRPr="00E74967" w:rsidRDefault="007D1E76" w:rsidP="00CB41C4">
      <w:pPr>
        <w:tabs>
          <w:tab w:val="left" w:leader="underscore" w:pos="9639"/>
        </w:tabs>
        <w:spacing w:after="0" w:line="240" w:lineRule="auto"/>
        <w:jc w:val="both"/>
        <w:rPr>
          <w:rFonts w:cs="Calibri"/>
        </w:rPr>
      </w:pPr>
    </w:p>
    <w:p w14:paraId="06707DA2" w14:textId="111599B2" w:rsidR="007D1E76" w:rsidRPr="00F46719" w:rsidRDefault="007D1E76" w:rsidP="00F46719">
      <w:pPr>
        <w:pStyle w:val="Ttulo2"/>
        <w:rPr>
          <w:rFonts w:asciiTheme="minorHAnsi" w:hAnsiTheme="minorHAnsi" w:cstheme="minorHAnsi"/>
          <w:b/>
          <w:color w:val="auto"/>
          <w:sz w:val="22"/>
        </w:rPr>
      </w:pPr>
      <w:bookmarkStart w:id="47" w:name="_Toc161472881"/>
      <w:r w:rsidRPr="00F46719">
        <w:rPr>
          <w:rFonts w:asciiTheme="minorHAnsi" w:hAnsiTheme="minorHAnsi" w:cstheme="minorHAnsi"/>
          <w:b/>
          <w:color w:val="auto"/>
          <w:sz w:val="22"/>
        </w:rPr>
        <w:t>1</w:t>
      </w:r>
      <w:r w:rsidR="001C34BC">
        <w:rPr>
          <w:rFonts w:asciiTheme="minorHAnsi" w:hAnsiTheme="minorHAnsi" w:cstheme="minorHAnsi"/>
          <w:b/>
          <w:color w:val="auto"/>
          <w:sz w:val="22"/>
        </w:rPr>
        <w:t>6</w:t>
      </w:r>
      <w:r w:rsidRPr="00F46719">
        <w:rPr>
          <w:rFonts w:asciiTheme="minorHAnsi" w:hAnsiTheme="minorHAnsi" w:cstheme="minorHAnsi"/>
          <w:b/>
          <w:color w:val="auto"/>
          <w:sz w:val="22"/>
        </w:rPr>
        <w:t xml:space="preserve">.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47"/>
    </w:p>
    <w:p w14:paraId="24905817" w14:textId="77777777" w:rsidR="007D1E76" w:rsidRPr="00E74967" w:rsidRDefault="007D1E76" w:rsidP="00CB41C4">
      <w:pPr>
        <w:tabs>
          <w:tab w:val="left" w:leader="underscore" w:pos="9639"/>
        </w:tabs>
        <w:spacing w:after="0" w:line="240" w:lineRule="auto"/>
        <w:jc w:val="both"/>
        <w:rPr>
          <w:rFonts w:cs="Calibri"/>
        </w:rPr>
      </w:pPr>
    </w:p>
    <w:p w14:paraId="50903296" w14:textId="5A74BBD3" w:rsidR="007D1E76" w:rsidRDefault="00C4625D" w:rsidP="00CB41C4">
      <w:pPr>
        <w:tabs>
          <w:tab w:val="left" w:leader="underscore" w:pos="9639"/>
        </w:tabs>
        <w:spacing w:after="0" w:line="240" w:lineRule="auto"/>
        <w:jc w:val="both"/>
        <w:rPr>
          <w:rFonts w:cs="Calibri"/>
        </w:rPr>
      </w:pPr>
      <w:r w:rsidRPr="00C4625D">
        <w:rPr>
          <w:rFonts w:cs="Calibri"/>
        </w:rPr>
        <w:t xml:space="preserve">La Información Contable deberá estar firmada en cada página de </w:t>
      </w:r>
      <w:proofErr w:type="gramStart"/>
      <w:r w:rsidRPr="00C4625D">
        <w:rPr>
          <w:rFonts w:cs="Calibri"/>
        </w:rPr>
        <w:t>la misma</w:t>
      </w:r>
      <w:proofErr w:type="gramEnd"/>
      <w:r w:rsidRPr="00C4625D">
        <w:rPr>
          <w:rFonts w:cs="Calibri"/>
        </w:rPr>
        <w:t xml:space="preserve"> e incluir al final la siguiente leyenda: “Bajo protesta de decir verdad declaramos que los Estados Financieros y sus notas, son razonablemente correctos y son responsabilidad del emisor”. Lo anterior, no será aplicable para la información contable consolidada</w:t>
      </w:r>
      <w:r w:rsidR="001973A2" w:rsidRPr="001973A2">
        <w:rPr>
          <w:rFonts w:cs="Calibri"/>
        </w:rPr>
        <w:t>.</w:t>
      </w:r>
    </w:p>
    <w:p w14:paraId="2092EF68" w14:textId="77777777" w:rsidR="00D5018E" w:rsidRDefault="00D5018E" w:rsidP="00D5018E">
      <w:pPr>
        <w:pBdr>
          <w:bottom w:val="single" w:sz="12" w:space="1" w:color="auto"/>
        </w:pBdr>
        <w:tabs>
          <w:tab w:val="left" w:leader="underscore" w:pos="9639"/>
        </w:tabs>
        <w:spacing w:after="0" w:line="240" w:lineRule="auto"/>
        <w:jc w:val="both"/>
        <w:rPr>
          <w:rFonts w:cs="Calibri"/>
        </w:rPr>
      </w:pPr>
    </w:p>
    <w:p w14:paraId="16E74ADB" w14:textId="77777777" w:rsidR="00231FBE" w:rsidRDefault="00231FBE" w:rsidP="00D5018E">
      <w:pPr>
        <w:pBdr>
          <w:bottom w:val="single" w:sz="12" w:space="1" w:color="auto"/>
        </w:pBdr>
        <w:tabs>
          <w:tab w:val="left" w:leader="underscore" w:pos="9639"/>
        </w:tabs>
        <w:spacing w:after="0" w:line="240" w:lineRule="auto"/>
        <w:jc w:val="both"/>
        <w:rPr>
          <w:rFonts w:cs="Calibri"/>
        </w:rPr>
      </w:pPr>
    </w:p>
    <w:p w14:paraId="3FF73356" w14:textId="77777777" w:rsidR="00D5018E" w:rsidRDefault="00D5018E" w:rsidP="00D5018E">
      <w:pPr>
        <w:tabs>
          <w:tab w:val="left" w:leader="underscore" w:pos="9639"/>
        </w:tabs>
        <w:spacing w:after="0" w:line="240" w:lineRule="auto"/>
        <w:jc w:val="both"/>
        <w:rPr>
          <w:rFonts w:asciiTheme="minorHAnsi" w:hAnsiTheme="minorHAnsi" w:cstheme="minorHAnsi"/>
          <w:b/>
          <w:sz w:val="24"/>
          <w:szCs w:val="24"/>
        </w:rPr>
      </w:pPr>
    </w:p>
    <w:p w14:paraId="097939D2" w14:textId="251AB0E9" w:rsidR="00D5018E" w:rsidRPr="0012405A" w:rsidRDefault="00D5018E" w:rsidP="00D5018E">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b/>
          <w:sz w:val="24"/>
          <w:szCs w:val="24"/>
        </w:rPr>
        <w:t xml:space="preserve">Nota </w:t>
      </w:r>
      <w:r>
        <w:rPr>
          <w:rFonts w:asciiTheme="minorHAnsi" w:hAnsiTheme="minorHAnsi" w:cstheme="minorHAnsi"/>
          <w:b/>
          <w:sz w:val="24"/>
          <w:szCs w:val="24"/>
        </w:rPr>
        <w:t>1</w:t>
      </w:r>
      <w:r w:rsidRPr="0012405A">
        <w:rPr>
          <w:rFonts w:asciiTheme="minorHAnsi" w:hAnsiTheme="minorHAnsi" w:cstheme="minorHAnsi"/>
          <w:sz w:val="24"/>
          <w:szCs w:val="24"/>
        </w:rPr>
        <w:t>: En cada una de las 1</w:t>
      </w:r>
      <w:r w:rsidR="005053EE">
        <w:rPr>
          <w:rFonts w:asciiTheme="minorHAnsi" w:hAnsiTheme="minorHAnsi" w:cstheme="minorHAnsi"/>
          <w:sz w:val="24"/>
          <w:szCs w:val="24"/>
        </w:rPr>
        <w:t>5</w:t>
      </w:r>
      <w:r w:rsidRPr="0012405A">
        <w:rPr>
          <w:rFonts w:asciiTheme="minorHAnsi" w:hAnsiTheme="minorHAnsi" w:cstheme="minorHAnsi"/>
          <w:sz w:val="24"/>
          <w:szCs w:val="24"/>
        </w:rPr>
        <w:t xml:space="preserve"> notas de gestión administrativa el ente público deberá poner la nota correspondiente o en su caso la leyenda </w:t>
      </w:r>
      <w:bookmarkStart w:id="48" w:name="_Hlk164765966"/>
      <w:r w:rsidRPr="0012405A">
        <w:rPr>
          <w:rFonts w:asciiTheme="minorHAnsi" w:hAnsiTheme="minorHAnsi" w:cstheme="minorHAnsi"/>
          <w:sz w:val="24"/>
          <w:szCs w:val="24"/>
        </w:rPr>
        <w:t>“</w:t>
      </w:r>
      <w:r w:rsidRPr="00C54C12">
        <w:rPr>
          <w:rFonts w:asciiTheme="minorHAnsi" w:hAnsiTheme="minorHAnsi" w:cstheme="minorHAnsi"/>
          <w:b/>
          <w:bCs/>
          <w:sz w:val="24"/>
          <w:szCs w:val="24"/>
        </w:rPr>
        <w:t xml:space="preserve">Esta nota no le aplica al ente público” </w:t>
      </w:r>
      <w:bookmarkEnd w:id="48"/>
      <w:r w:rsidRPr="00C54C12">
        <w:rPr>
          <w:rFonts w:asciiTheme="minorHAnsi" w:hAnsiTheme="minorHAnsi" w:cstheme="minorHAnsi"/>
          <w:b/>
          <w:bCs/>
          <w:sz w:val="24"/>
          <w:szCs w:val="24"/>
        </w:rPr>
        <w:t>y una breve explicación del motivo por el cual no le es aplicable</w:t>
      </w:r>
      <w:r w:rsidRPr="0012405A">
        <w:rPr>
          <w:rFonts w:asciiTheme="minorHAnsi" w:hAnsiTheme="minorHAnsi" w:cstheme="minorHAnsi"/>
          <w:sz w:val="24"/>
          <w:szCs w:val="24"/>
        </w:rPr>
        <w:t>.</w:t>
      </w:r>
      <w:r w:rsidR="000310EF">
        <w:rPr>
          <w:rFonts w:asciiTheme="minorHAnsi" w:hAnsiTheme="minorHAnsi" w:cstheme="minorHAnsi"/>
          <w:sz w:val="24"/>
          <w:szCs w:val="24"/>
        </w:rPr>
        <w:t xml:space="preserve"> 06-12-2022</w:t>
      </w:r>
    </w:p>
    <w:p w14:paraId="0AABDD06" w14:textId="77777777" w:rsidR="00D5018E" w:rsidRPr="0012405A" w:rsidRDefault="00D5018E" w:rsidP="00D5018E">
      <w:pPr>
        <w:pBdr>
          <w:bottom w:val="single" w:sz="12" w:space="1" w:color="auto"/>
        </w:pBdr>
        <w:tabs>
          <w:tab w:val="left" w:leader="underscore" w:pos="9639"/>
        </w:tabs>
        <w:spacing w:after="0" w:line="240" w:lineRule="auto"/>
        <w:jc w:val="both"/>
        <w:rPr>
          <w:rFonts w:cs="Calibri"/>
        </w:rPr>
      </w:pPr>
    </w:p>
    <w:p w14:paraId="74D16815" w14:textId="77777777" w:rsidR="00D5018E" w:rsidRDefault="00D5018E" w:rsidP="00CB41C4">
      <w:pPr>
        <w:tabs>
          <w:tab w:val="left" w:leader="underscore" w:pos="9639"/>
        </w:tabs>
        <w:spacing w:after="0" w:line="240" w:lineRule="auto"/>
        <w:jc w:val="both"/>
        <w:rPr>
          <w:rFonts w:cs="Calibri"/>
        </w:rPr>
      </w:pPr>
    </w:p>
    <w:p w14:paraId="3DA90134" w14:textId="77777777" w:rsidR="00FB26C7" w:rsidRPr="00FA379D" w:rsidRDefault="00FB26C7" w:rsidP="00FB26C7">
      <w:pPr>
        <w:jc w:val="both"/>
        <w:rPr>
          <w:rFonts w:ascii="Arial" w:hAnsi="Arial" w:cs="Arial"/>
          <w:sz w:val="20"/>
          <w:szCs w:val="20"/>
        </w:rPr>
      </w:pPr>
      <w:r w:rsidRPr="00FA379D">
        <w:rPr>
          <w:rFonts w:ascii="Arial" w:hAnsi="Arial" w:cs="Arial"/>
          <w:sz w:val="20"/>
          <w:szCs w:val="20"/>
        </w:rPr>
        <w:t>Bajo protesta de decir verdad declaramos que los Estados Financieros y sus Notas son razonablemente correctos y responsabilidad del emisor.</w:t>
      </w:r>
    </w:p>
    <w:p w14:paraId="398BA796" w14:textId="77777777" w:rsidR="00FB26C7" w:rsidRDefault="00FB26C7" w:rsidP="00CB41C4">
      <w:pPr>
        <w:tabs>
          <w:tab w:val="left" w:leader="underscore" w:pos="9639"/>
        </w:tabs>
        <w:spacing w:after="0" w:line="240" w:lineRule="auto"/>
        <w:jc w:val="both"/>
        <w:rPr>
          <w:rFonts w:cs="Calibri"/>
        </w:rPr>
      </w:pPr>
    </w:p>
    <w:p w14:paraId="7B1DC6F2" w14:textId="77777777" w:rsidR="001D3795" w:rsidRPr="001D3795" w:rsidRDefault="001D3795" w:rsidP="001D3795">
      <w:pPr>
        <w:rPr>
          <w:rFonts w:cs="Calibri"/>
        </w:rPr>
      </w:pPr>
    </w:p>
    <w:p w14:paraId="2C91CF94" w14:textId="77777777" w:rsidR="001D3795" w:rsidRPr="001D3795" w:rsidRDefault="001D3795" w:rsidP="001D3795">
      <w:pPr>
        <w:rPr>
          <w:rFonts w:cs="Calibri"/>
        </w:rPr>
      </w:pPr>
    </w:p>
    <w:p w14:paraId="3E64476C" w14:textId="55DA6A3C" w:rsidR="001D3795" w:rsidRDefault="001D3795" w:rsidP="001D3795">
      <w:pPr>
        <w:rPr>
          <w:rFonts w:cs="Calibri"/>
        </w:rPr>
      </w:pPr>
    </w:p>
    <w:p w14:paraId="412179B2" w14:textId="32F14F8E" w:rsidR="001D3795" w:rsidRPr="001D3795" w:rsidRDefault="001D3795" w:rsidP="001D3795">
      <w:pPr>
        <w:rPr>
          <w:rFonts w:cs="Calibri"/>
        </w:rPr>
      </w:pPr>
      <w:r>
        <w:rPr>
          <w:noProof/>
        </w:rPr>
        <mc:AlternateContent>
          <mc:Choice Requires="wps">
            <w:drawing>
              <wp:anchor distT="0" distB="0" distL="114300" distR="114300" simplePos="0" relativeHeight="251659264" behindDoc="0" locked="0" layoutInCell="1" allowOverlap="1" wp14:anchorId="306CBFC3" wp14:editId="57ADC578">
                <wp:simplePos x="0" y="0"/>
                <wp:positionH relativeFrom="column">
                  <wp:posOffset>-472440</wp:posOffset>
                </wp:positionH>
                <wp:positionV relativeFrom="paragraph">
                  <wp:posOffset>90805</wp:posOffset>
                </wp:positionV>
                <wp:extent cx="1805940" cy="952500"/>
                <wp:effectExtent l="0" t="0" r="0" b="0"/>
                <wp:wrapNone/>
                <wp:docPr id="3" name="Cuadro de texto 9">
                  <a:extLst xmlns:a="http://schemas.openxmlformats.org/drawingml/2006/main">
                    <a:ext uri="{FF2B5EF4-FFF2-40B4-BE49-F238E27FC236}">
                      <a16:creationId xmlns:a16="http://schemas.microsoft.com/office/drawing/2014/main" id="{46D8B2B8-6225-4A35-B74D-2AAF8FF96AF7}"/>
                    </a:ext>
                  </a:extLst>
                </wp:docPr>
                <wp:cNvGraphicFramePr/>
                <a:graphic xmlns:a="http://schemas.openxmlformats.org/drawingml/2006/main">
                  <a:graphicData uri="http://schemas.microsoft.com/office/word/2010/wordprocessingShape">
                    <wps:wsp>
                      <wps:cNvSpPr txBox="1"/>
                      <wps:spPr>
                        <a:xfrm>
                          <a:off x="0" y="0"/>
                          <a:ext cx="1805940" cy="9525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84A4688" w14:textId="77777777" w:rsidR="001D3795" w:rsidRDefault="001D3795" w:rsidP="001D3795">
                            <w:pPr>
                              <w:spacing w:after="0" w:line="256" w:lineRule="auto"/>
                              <w:jc w:val="center"/>
                              <w:rPr>
                                <w:rFonts w:eastAsia="Times New Roman" w:hAnsi="Aptos"/>
                                <w:color w:val="000000"/>
                                <w:sz w:val="20"/>
                                <w:szCs w:val="20"/>
                                <w:lang w:val="en-US"/>
                              </w:rPr>
                            </w:pPr>
                            <w:r>
                              <w:rPr>
                                <w:rFonts w:eastAsia="Times New Roman" w:hAnsi="Aptos"/>
                                <w:color w:val="000000"/>
                                <w:sz w:val="20"/>
                                <w:szCs w:val="20"/>
                                <w:lang w:val="en-US"/>
                              </w:rPr>
                              <w:t>________________________</w:t>
                            </w:r>
                          </w:p>
                          <w:p w14:paraId="5480BD7A" w14:textId="77777777" w:rsidR="001D3795" w:rsidRDefault="001D3795" w:rsidP="001D3795">
                            <w:pPr>
                              <w:spacing w:after="0" w:line="256" w:lineRule="auto"/>
                              <w:jc w:val="center"/>
                              <w:rPr>
                                <w:rFonts w:eastAsia="Times New Roman" w:hAnsi="Aptos"/>
                                <w:color w:val="000000"/>
                                <w:sz w:val="14"/>
                                <w:szCs w:val="14"/>
                                <w:lang w:val="en-US"/>
                              </w:rPr>
                            </w:pPr>
                            <w:r>
                              <w:rPr>
                                <w:rFonts w:eastAsia="Times New Roman" w:hAnsi="Aptos"/>
                                <w:color w:val="000000"/>
                                <w:sz w:val="14"/>
                                <w:szCs w:val="14"/>
                                <w:lang w:val="en-US"/>
                              </w:rPr>
                              <w:t>AUTORIZ</w:t>
                            </w:r>
                            <w:r>
                              <w:rPr>
                                <w:rFonts w:eastAsia="Times New Roman" w:hAnsi="Aptos"/>
                                <w:color w:val="000000"/>
                                <w:sz w:val="14"/>
                                <w:szCs w:val="14"/>
                                <w:lang w:val="en-US"/>
                              </w:rPr>
                              <w:t>Ó</w:t>
                            </w:r>
                          </w:p>
                          <w:p w14:paraId="69F1C4B7" w14:textId="77777777" w:rsidR="001D3795" w:rsidRDefault="001D3795" w:rsidP="001D3795">
                            <w:pPr>
                              <w:spacing w:after="0" w:line="256" w:lineRule="auto"/>
                              <w:jc w:val="center"/>
                              <w:rPr>
                                <w:rFonts w:eastAsia="Times New Roman" w:hAnsi="Aptos"/>
                                <w:color w:val="000000"/>
                                <w:sz w:val="14"/>
                                <w:szCs w:val="14"/>
                                <w:lang w:val="en-US"/>
                              </w:rPr>
                            </w:pPr>
                            <w:r>
                              <w:rPr>
                                <w:rFonts w:eastAsia="Times New Roman" w:hAnsi="Aptos"/>
                                <w:color w:val="000000"/>
                                <w:sz w:val="14"/>
                                <w:szCs w:val="14"/>
                                <w:lang w:val="en-US"/>
                              </w:rPr>
                              <w:t>C.P. Luis Enrique Ramos P</w:t>
                            </w:r>
                            <w:r>
                              <w:rPr>
                                <w:rFonts w:eastAsia="Times New Roman" w:hAnsi="Aptos"/>
                                <w:color w:val="000000"/>
                                <w:sz w:val="14"/>
                                <w:szCs w:val="14"/>
                                <w:lang w:val="en-US"/>
                              </w:rPr>
                              <w:t>é</w:t>
                            </w:r>
                            <w:r>
                              <w:rPr>
                                <w:rFonts w:eastAsia="Times New Roman" w:hAnsi="Aptos"/>
                                <w:color w:val="000000"/>
                                <w:sz w:val="14"/>
                                <w:szCs w:val="14"/>
                                <w:lang w:val="en-US"/>
                              </w:rPr>
                              <w:t>rez</w:t>
                            </w:r>
                          </w:p>
                          <w:p w14:paraId="7B1480AF" w14:textId="77777777" w:rsidR="001D3795" w:rsidRDefault="001D3795" w:rsidP="001D3795">
                            <w:pPr>
                              <w:spacing w:after="0" w:line="256" w:lineRule="auto"/>
                              <w:jc w:val="center"/>
                              <w:rPr>
                                <w:rFonts w:eastAsia="Times New Roman" w:hAnsi="Aptos"/>
                                <w:color w:val="000000"/>
                                <w:sz w:val="14"/>
                                <w:szCs w:val="14"/>
                                <w:lang w:val="en-US"/>
                              </w:rPr>
                            </w:pPr>
                            <w:r>
                              <w:rPr>
                                <w:rFonts w:eastAsia="Times New Roman" w:hAnsi="Aptos"/>
                                <w:color w:val="000000"/>
                                <w:sz w:val="14"/>
                                <w:szCs w:val="14"/>
                                <w:lang w:val="en-US"/>
                              </w:rPr>
                              <w:t xml:space="preserve">Director General de </w:t>
                            </w:r>
                            <w:proofErr w:type="spellStart"/>
                            <w:r>
                              <w:rPr>
                                <w:rFonts w:eastAsia="Times New Roman" w:hAnsi="Aptos"/>
                                <w:color w:val="000000"/>
                                <w:sz w:val="14"/>
                                <w:szCs w:val="14"/>
                                <w:lang w:val="en-US"/>
                              </w:rPr>
                              <w:t>Administraci</w:t>
                            </w:r>
                            <w:r>
                              <w:rPr>
                                <w:rFonts w:eastAsia="Times New Roman" w:hAnsi="Aptos"/>
                                <w:color w:val="000000"/>
                                <w:sz w:val="14"/>
                                <w:szCs w:val="14"/>
                                <w:lang w:val="en-US"/>
                              </w:rPr>
                              <w:t>ó</w:t>
                            </w:r>
                            <w:r>
                              <w:rPr>
                                <w:rFonts w:eastAsia="Times New Roman" w:hAnsi="Aptos"/>
                                <w:color w:val="000000"/>
                                <w:sz w:val="14"/>
                                <w:szCs w:val="14"/>
                                <w:lang w:val="en-US"/>
                              </w:rPr>
                              <w:t>n</w:t>
                            </w:r>
                            <w:proofErr w:type="spellEnd"/>
                            <w:r>
                              <w:rPr>
                                <w:rFonts w:eastAsia="Times New Roman" w:hAnsi="Aptos"/>
                                <w:color w:val="000000"/>
                                <w:sz w:val="14"/>
                                <w:szCs w:val="14"/>
                                <w:lang w:val="en-US"/>
                              </w:rPr>
                              <w:t xml:space="preserve"> </w:t>
                            </w:r>
                            <w:r>
                              <w:rPr>
                                <w:rFonts w:eastAsia="Times New Roman" w:hAnsi="Aptos"/>
                                <w:color w:val="000000"/>
                                <w:sz w:val="16"/>
                                <w:szCs w:val="16"/>
                                <w:lang w:val="en-US"/>
                              </w:rPr>
                              <w:t xml:space="preserve">e </w:t>
                            </w:r>
                            <w:proofErr w:type="spellStart"/>
                            <w:proofErr w:type="gramStart"/>
                            <w:r>
                              <w:rPr>
                                <w:rFonts w:eastAsia="Times New Roman" w:hAnsi="Aptos"/>
                                <w:color w:val="000000"/>
                                <w:sz w:val="16"/>
                                <w:szCs w:val="16"/>
                                <w:lang w:val="en-US"/>
                              </w:rPr>
                              <w:t>Inversi</w:t>
                            </w:r>
                            <w:r>
                              <w:rPr>
                                <w:rFonts w:eastAsia="Times New Roman" w:hAnsi="Aptos"/>
                                <w:color w:val="000000"/>
                                <w:sz w:val="16"/>
                                <w:szCs w:val="16"/>
                                <w:lang w:val="en-US"/>
                              </w:rPr>
                              <w:t>ó</w:t>
                            </w:r>
                            <w:r>
                              <w:rPr>
                                <w:rFonts w:eastAsia="Times New Roman" w:hAnsi="Aptos"/>
                                <w:color w:val="000000"/>
                                <w:sz w:val="16"/>
                                <w:szCs w:val="16"/>
                                <w:lang w:val="en-US"/>
                              </w:rPr>
                              <w:t>n</w:t>
                            </w:r>
                            <w:proofErr w:type="spellEnd"/>
                            <w:r>
                              <w:rPr>
                                <w:rFonts w:eastAsia="Times New Roman" w:hAnsi="Aptos"/>
                                <w:color w:val="000000"/>
                                <w:sz w:val="16"/>
                                <w:szCs w:val="16"/>
                                <w:lang w:val="en-US"/>
                              </w:rPr>
                              <w:t xml:space="preserve">  SICOM</w:t>
                            </w:r>
                            <w:proofErr w:type="gramEnd"/>
                          </w:p>
                        </w:txbxContent>
                      </wps:txbx>
                      <wps:bodyPr wrap="square" rtlCol="0" anchor="ctr">
                        <a:noAutofit/>
                      </wps:bodyPr>
                    </wps:wsp>
                  </a:graphicData>
                </a:graphic>
              </wp:anchor>
            </w:drawing>
          </mc:Choice>
          <mc:Fallback>
            <w:pict>
              <v:shapetype w14:anchorId="306CBFC3" id="_x0000_t202" coordsize="21600,21600" o:spt="202" path="m,l,21600r21600,l21600,xe">
                <v:stroke joinstyle="miter"/>
                <v:path gradientshapeok="t" o:connecttype="rect"/>
              </v:shapetype>
              <v:shape id="Cuadro de texto 9" o:spid="_x0000_s1026" type="#_x0000_t202" style="position:absolute;margin-left:-37.2pt;margin-top:7.15pt;width:142.2pt;height: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xU7QEAAC4EAAAOAAAAZHJzL2Uyb0RvYy54bWysU8Fu2zAMvQ/YPwi6L3aDZWiDOEXXorsM&#10;27B2H6DIUixMEjVJiZ2/H0U7zrCdOvQiWyLfI/lIbm4HZ9lRxWTAN/xqUXOmvITW+H3Dfzw/vrvm&#10;LGXhW2HBq4afVOK327dvNn1YqyV0YFsVGZL4tO5Dw7ucw7qqkuyUE2kBQXk0aohOZLzGfdVG0SO7&#10;s9Wyrj9UPcQ2RJAqJXx9GI18S/xaK5m/ap1UZrbhmFumM9K5K2e13Yj1PorQGTmlIf4jCyeMx6Az&#10;1YPIgh2i+YfKGRkhgc4LCa4CrY1UVANWc1X/Vc1TJ4KiWlCcFGaZ0uvRyi/Hp/Atsjx8hAEbWATp&#10;Q1onfCz1DDq68sVMGdpRwtMsmxoykwV0Xa9u3qNJou1mtVzVpGt1QYeY8icFjpWfhkdsC6kljp9T&#10;xojoenYpwTw8GmupNdazfiRFehfahie/J+zshGDrkeOSNv3lk1WFzPrvSjPTUvblIcm4393byMYx&#10;wDnF1M/DQGQIKI4ak3ghdoIUtKLpeyF+BlF88HnGO+MhUuG0G6oUcBQ41e1Pahomrkf/sxSjAEWL&#10;POyGqa87aE/Y7h4nHqX8dRBRcRazvYdxQYSXHaAwMo/BPNwdMmhDXSpcI8EUA4eSmjctUJn6P+/k&#10;dVnz7W8AAAD//wMAUEsDBBQABgAIAAAAIQDSGA2e3gAAAAoBAAAPAAAAZHJzL2Rvd25yZXYueG1s&#10;TI/BTsMwEETvSPyDtUhcUGu3RCkKcSqEVAlVcGjhA5x4G0eN11HspuHvWU5w3Jmn2ZlyO/teTDjG&#10;LpCG1VKBQGqC7ajV8PW5WzyBiMmQNX0g1PCNEbbV7U1pChuudMDpmFrBIRQLo8GlNBRSxsahN3EZ&#10;BiT2TmH0JvE5ttKO5srhvpdrpXLpTUf8wZkBXx025+PFa3hwg/p4P73VO5s37ryPZuOnvdb3d/PL&#10;M4iEc/qD4bc+V4eKO9XhQjaKXsNik2WMspE9gmBgvVI8rmYhZ0VWpfw/ofoBAAD//wMAUEsBAi0A&#10;FAAGAAgAAAAhALaDOJL+AAAA4QEAABMAAAAAAAAAAAAAAAAAAAAAAFtDb250ZW50X1R5cGVzXS54&#10;bWxQSwECLQAUAAYACAAAACEAOP0h/9YAAACUAQAACwAAAAAAAAAAAAAAAAAvAQAAX3JlbHMvLnJl&#10;bHNQSwECLQAUAAYACAAAACEA6kPsVO0BAAAuBAAADgAAAAAAAAAAAAAAAAAuAgAAZHJzL2Uyb0Rv&#10;Yy54bWxQSwECLQAUAAYACAAAACEA0hgNnt4AAAAKAQAADwAAAAAAAAAAAAAAAABHBAAAZHJzL2Rv&#10;d25yZXYueG1sUEsFBgAAAAAEAAQA8wAAAFIFAAAAAA==&#10;" filled="f" stroked="f">
                <v:textbox>
                  <w:txbxContent>
                    <w:p w14:paraId="784A4688" w14:textId="77777777" w:rsidR="001D3795" w:rsidRDefault="001D3795" w:rsidP="001D3795">
                      <w:pPr>
                        <w:spacing w:after="0" w:line="256" w:lineRule="auto"/>
                        <w:jc w:val="center"/>
                        <w:rPr>
                          <w:rFonts w:eastAsia="Times New Roman" w:hAnsi="Aptos"/>
                          <w:color w:val="000000"/>
                          <w:sz w:val="20"/>
                          <w:szCs w:val="20"/>
                          <w:lang w:val="en-US"/>
                        </w:rPr>
                      </w:pPr>
                      <w:r>
                        <w:rPr>
                          <w:rFonts w:eastAsia="Times New Roman" w:hAnsi="Aptos"/>
                          <w:color w:val="000000"/>
                          <w:sz w:val="20"/>
                          <w:szCs w:val="20"/>
                          <w:lang w:val="en-US"/>
                        </w:rPr>
                        <w:t>________________________</w:t>
                      </w:r>
                    </w:p>
                    <w:p w14:paraId="5480BD7A" w14:textId="77777777" w:rsidR="001D3795" w:rsidRDefault="001D3795" w:rsidP="001D3795">
                      <w:pPr>
                        <w:spacing w:after="0" w:line="256" w:lineRule="auto"/>
                        <w:jc w:val="center"/>
                        <w:rPr>
                          <w:rFonts w:eastAsia="Times New Roman" w:hAnsi="Aptos"/>
                          <w:color w:val="000000"/>
                          <w:sz w:val="14"/>
                          <w:szCs w:val="14"/>
                          <w:lang w:val="en-US"/>
                        </w:rPr>
                      </w:pPr>
                      <w:r>
                        <w:rPr>
                          <w:rFonts w:eastAsia="Times New Roman" w:hAnsi="Aptos"/>
                          <w:color w:val="000000"/>
                          <w:sz w:val="14"/>
                          <w:szCs w:val="14"/>
                          <w:lang w:val="en-US"/>
                        </w:rPr>
                        <w:t>AUTORIZ</w:t>
                      </w:r>
                      <w:r>
                        <w:rPr>
                          <w:rFonts w:eastAsia="Times New Roman" w:hAnsi="Aptos"/>
                          <w:color w:val="000000"/>
                          <w:sz w:val="14"/>
                          <w:szCs w:val="14"/>
                          <w:lang w:val="en-US"/>
                        </w:rPr>
                        <w:t>Ó</w:t>
                      </w:r>
                    </w:p>
                    <w:p w14:paraId="69F1C4B7" w14:textId="77777777" w:rsidR="001D3795" w:rsidRDefault="001D3795" w:rsidP="001D3795">
                      <w:pPr>
                        <w:spacing w:after="0" w:line="256" w:lineRule="auto"/>
                        <w:jc w:val="center"/>
                        <w:rPr>
                          <w:rFonts w:eastAsia="Times New Roman" w:hAnsi="Aptos"/>
                          <w:color w:val="000000"/>
                          <w:sz w:val="14"/>
                          <w:szCs w:val="14"/>
                          <w:lang w:val="en-US"/>
                        </w:rPr>
                      </w:pPr>
                      <w:r>
                        <w:rPr>
                          <w:rFonts w:eastAsia="Times New Roman" w:hAnsi="Aptos"/>
                          <w:color w:val="000000"/>
                          <w:sz w:val="14"/>
                          <w:szCs w:val="14"/>
                          <w:lang w:val="en-US"/>
                        </w:rPr>
                        <w:t>C.P. Luis Enrique Ramos P</w:t>
                      </w:r>
                      <w:r>
                        <w:rPr>
                          <w:rFonts w:eastAsia="Times New Roman" w:hAnsi="Aptos"/>
                          <w:color w:val="000000"/>
                          <w:sz w:val="14"/>
                          <w:szCs w:val="14"/>
                          <w:lang w:val="en-US"/>
                        </w:rPr>
                        <w:t>é</w:t>
                      </w:r>
                      <w:r>
                        <w:rPr>
                          <w:rFonts w:eastAsia="Times New Roman" w:hAnsi="Aptos"/>
                          <w:color w:val="000000"/>
                          <w:sz w:val="14"/>
                          <w:szCs w:val="14"/>
                          <w:lang w:val="en-US"/>
                        </w:rPr>
                        <w:t>rez</w:t>
                      </w:r>
                    </w:p>
                    <w:p w14:paraId="7B1480AF" w14:textId="77777777" w:rsidR="001D3795" w:rsidRDefault="001D3795" w:rsidP="001D3795">
                      <w:pPr>
                        <w:spacing w:after="0" w:line="256" w:lineRule="auto"/>
                        <w:jc w:val="center"/>
                        <w:rPr>
                          <w:rFonts w:eastAsia="Times New Roman" w:hAnsi="Aptos"/>
                          <w:color w:val="000000"/>
                          <w:sz w:val="14"/>
                          <w:szCs w:val="14"/>
                          <w:lang w:val="en-US"/>
                        </w:rPr>
                      </w:pPr>
                      <w:r>
                        <w:rPr>
                          <w:rFonts w:eastAsia="Times New Roman" w:hAnsi="Aptos"/>
                          <w:color w:val="000000"/>
                          <w:sz w:val="14"/>
                          <w:szCs w:val="14"/>
                          <w:lang w:val="en-US"/>
                        </w:rPr>
                        <w:t xml:space="preserve">Director General de </w:t>
                      </w:r>
                      <w:proofErr w:type="spellStart"/>
                      <w:r>
                        <w:rPr>
                          <w:rFonts w:eastAsia="Times New Roman" w:hAnsi="Aptos"/>
                          <w:color w:val="000000"/>
                          <w:sz w:val="14"/>
                          <w:szCs w:val="14"/>
                          <w:lang w:val="en-US"/>
                        </w:rPr>
                        <w:t>Administraci</w:t>
                      </w:r>
                      <w:r>
                        <w:rPr>
                          <w:rFonts w:eastAsia="Times New Roman" w:hAnsi="Aptos"/>
                          <w:color w:val="000000"/>
                          <w:sz w:val="14"/>
                          <w:szCs w:val="14"/>
                          <w:lang w:val="en-US"/>
                        </w:rPr>
                        <w:t>ó</w:t>
                      </w:r>
                      <w:r>
                        <w:rPr>
                          <w:rFonts w:eastAsia="Times New Roman" w:hAnsi="Aptos"/>
                          <w:color w:val="000000"/>
                          <w:sz w:val="14"/>
                          <w:szCs w:val="14"/>
                          <w:lang w:val="en-US"/>
                        </w:rPr>
                        <w:t>n</w:t>
                      </w:r>
                      <w:proofErr w:type="spellEnd"/>
                      <w:r>
                        <w:rPr>
                          <w:rFonts w:eastAsia="Times New Roman" w:hAnsi="Aptos"/>
                          <w:color w:val="000000"/>
                          <w:sz w:val="14"/>
                          <w:szCs w:val="14"/>
                          <w:lang w:val="en-US"/>
                        </w:rPr>
                        <w:t xml:space="preserve"> </w:t>
                      </w:r>
                      <w:r>
                        <w:rPr>
                          <w:rFonts w:eastAsia="Times New Roman" w:hAnsi="Aptos"/>
                          <w:color w:val="000000"/>
                          <w:sz w:val="16"/>
                          <w:szCs w:val="16"/>
                          <w:lang w:val="en-US"/>
                        </w:rPr>
                        <w:t xml:space="preserve">e </w:t>
                      </w:r>
                      <w:proofErr w:type="spellStart"/>
                      <w:proofErr w:type="gramStart"/>
                      <w:r>
                        <w:rPr>
                          <w:rFonts w:eastAsia="Times New Roman" w:hAnsi="Aptos"/>
                          <w:color w:val="000000"/>
                          <w:sz w:val="16"/>
                          <w:szCs w:val="16"/>
                          <w:lang w:val="en-US"/>
                        </w:rPr>
                        <w:t>Inversi</w:t>
                      </w:r>
                      <w:r>
                        <w:rPr>
                          <w:rFonts w:eastAsia="Times New Roman" w:hAnsi="Aptos"/>
                          <w:color w:val="000000"/>
                          <w:sz w:val="16"/>
                          <w:szCs w:val="16"/>
                          <w:lang w:val="en-US"/>
                        </w:rPr>
                        <w:t>ó</w:t>
                      </w:r>
                      <w:r>
                        <w:rPr>
                          <w:rFonts w:eastAsia="Times New Roman" w:hAnsi="Aptos"/>
                          <w:color w:val="000000"/>
                          <w:sz w:val="16"/>
                          <w:szCs w:val="16"/>
                          <w:lang w:val="en-US"/>
                        </w:rPr>
                        <w:t>n</w:t>
                      </w:r>
                      <w:proofErr w:type="spellEnd"/>
                      <w:r>
                        <w:rPr>
                          <w:rFonts w:eastAsia="Times New Roman" w:hAnsi="Aptos"/>
                          <w:color w:val="000000"/>
                          <w:sz w:val="16"/>
                          <w:szCs w:val="16"/>
                          <w:lang w:val="en-US"/>
                        </w:rPr>
                        <w:t xml:space="preserve">  SICOM</w:t>
                      </w:r>
                      <w:proofErr w:type="gramEnd"/>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1ED8FBF7" wp14:editId="6F16C5C3">
                <wp:simplePos x="0" y="0"/>
                <wp:positionH relativeFrom="column">
                  <wp:posOffset>1135380</wp:posOffset>
                </wp:positionH>
                <wp:positionV relativeFrom="paragraph">
                  <wp:posOffset>52705</wp:posOffset>
                </wp:positionV>
                <wp:extent cx="1920240" cy="1059180"/>
                <wp:effectExtent l="0" t="0" r="0" b="0"/>
                <wp:wrapNone/>
                <wp:docPr id="5" name="Cuadro de texto 7">
                  <a:extLst xmlns:a="http://schemas.openxmlformats.org/drawingml/2006/main">
                    <a:ext uri="{FF2B5EF4-FFF2-40B4-BE49-F238E27FC236}">
                      <a16:creationId xmlns:a16="http://schemas.microsoft.com/office/drawing/2014/main" id="{FCCF3263-DC75-4364-B44C-BADA4F832311}"/>
                    </a:ext>
                  </a:extLst>
                </wp:docPr>
                <wp:cNvGraphicFramePr/>
                <a:graphic xmlns:a="http://schemas.openxmlformats.org/drawingml/2006/main">
                  <a:graphicData uri="http://schemas.microsoft.com/office/word/2010/wordprocessingShape">
                    <wps:wsp>
                      <wps:cNvSpPr txBox="1"/>
                      <wps:spPr>
                        <a:xfrm>
                          <a:off x="0" y="0"/>
                          <a:ext cx="1920240" cy="105918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323E9B65" w14:textId="77777777" w:rsidR="001D3795" w:rsidRDefault="001D3795" w:rsidP="001D3795">
                            <w:pPr>
                              <w:spacing w:after="0" w:line="256" w:lineRule="auto"/>
                              <w:jc w:val="center"/>
                              <w:rPr>
                                <w:rFonts w:eastAsia="Times New Roman" w:hAnsi="Aptos"/>
                                <w:color w:val="000000"/>
                                <w:lang w:val="en-US"/>
                              </w:rPr>
                            </w:pPr>
                            <w:r>
                              <w:rPr>
                                <w:rFonts w:eastAsia="Times New Roman" w:hAnsi="Aptos"/>
                                <w:color w:val="000000"/>
                                <w:lang w:val="en-US"/>
                              </w:rPr>
                              <w:t>_______________________</w:t>
                            </w:r>
                          </w:p>
                          <w:p w14:paraId="26DC3F2B" w14:textId="77777777" w:rsidR="001D3795" w:rsidRDefault="001D3795" w:rsidP="001D3795">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REVIS</w:t>
                            </w:r>
                            <w:r>
                              <w:rPr>
                                <w:rFonts w:eastAsia="Times New Roman" w:hAnsi="Aptos"/>
                                <w:color w:val="000000"/>
                                <w:sz w:val="16"/>
                                <w:szCs w:val="16"/>
                                <w:lang w:val="en-US"/>
                              </w:rPr>
                              <w:t>Ó</w:t>
                            </w:r>
                            <w:r>
                              <w:rPr>
                                <w:rFonts w:eastAsia="Times New Roman" w:hAnsi="Aptos"/>
                                <w:color w:val="000000"/>
                                <w:sz w:val="16"/>
                                <w:szCs w:val="16"/>
                                <w:lang w:val="en-US"/>
                              </w:rPr>
                              <w:t xml:space="preserve"> </w:t>
                            </w:r>
                          </w:p>
                          <w:p w14:paraId="6A70276A" w14:textId="77777777" w:rsidR="001D3795" w:rsidRDefault="001D3795" w:rsidP="001D3795">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C.P. Juan Antonio Ornelas Villa</w:t>
                            </w:r>
                          </w:p>
                          <w:p w14:paraId="6BA502B1" w14:textId="77777777" w:rsidR="001D3795" w:rsidRDefault="001D3795" w:rsidP="001D3795">
                            <w:pPr>
                              <w:spacing w:after="0" w:line="256" w:lineRule="auto"/>
                              <w:jc w:val="center"/>
                              <w:rPr>
                                <w:rFonts w:eastAsia="Times New Roman" w:hAnsi="Aptos"/>
                                <w:color w:val="000000"/>
                                <w:sz w:val="16"/>
                                <w:szCs w:val="16"/>
                                <w:lang w:val="es-ES"/>
                              </w:rPr>
                            </w:pPr>
                            <w:r>
                              <w:rPr>
                                <w:rFonts w:eastAsia="Times New Roman" w:hAnsi="Aptos"/>
                                <w:color w:val="000000"/>
                                <w:sz w:val="16"/>
                                <w:szCs w:val="16"/>
                                <w:lang w:val="es-ES"/>
                              </w:rPr>
                              <w:t>Director de Control Presupuestal y Contabilidad Gubernamental SICOM</w:t>
                            </w:r>
                          </w:p>
                        </w:txbxContent>
                      </wps:txbx>
                      <wps:bodyPr wrap="square" rtlCol="0" anchor="ctr">
                        <a:noAutofit/>
                      </wps:bodyPr>
                    </wps:wsp>
                  </a:graphicData>
                </a:graphic>
              </wp:anchor>
            </w:drawing>
          </mc:Choice>
          <mc:Fallback>
            <w:pict>
              <v:shape w14:anchorId="1ED8FBF7" id="Cuadro de texto 7" o:spid="_x0000_s1027" type="#_x0000_t202" style="position:absolute;margin-left:89.4pt;margin-top:4.15pt;width:151.2pt;height:8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lQF8wEAADYEAAAOAAAAZHJzL2Uyb0RvYy54bWysU8Fu2zAMvQ/YPwi6L3aCZWiCOMXWorsM&#10;27BuH6DIVCxMEjVJiZ2/HyUnTrGdWvQiWyLfI/lIbm4Ha9gRQtToGj6f1ZyBk9hqt2/4r58P7244&#10;i0m4Vhh00PATRH67fftm0/s1LLBD00JgROLiuvcN71Ly66qKsgMr4gw9ODIqDFYkuoZ91QbRE7s1&#10;1aKuP1Q9htYHlBAjvd6PRr4t/EqBTN+UipCYaTjllsoZyrnLZ7XdiPU+CN9peU5DvCALK7SjoBPV&#10;vUiCHYL+j8pqGTCiSjOJtkKltIRSA1Uzr/+p5rETHkotJE70k0zx9Wjl1+Oj/x5YGj7hQA3MgvQ+&#10;riM95noGFWz+UqaM7CThaZINhsRkBq0W9eI9mSTZ5vVyNb8pwlZXuA8xfQa0LP80PFBfilzi+CUm&#10;CkmuF5cczeGDNqb0xjjWN3y1XCyJ3/q24dHtC3ZyIrBxxHHNu/ylk4FMZtwPUEy3Jf38EGXY7+5M&#10;YOMc0KBS7pdpKGQEyI6Kkngm9gzJaCjj90z8BCrx0aUJb7XDUAovywG5gKOgsW5/l65R4mr0v0gx&#10;CpC1SMNuIAWe9HeH7Yna3tPkk6J/DiIAZyGZOxwXRTjZIekj0xjT4cdDQqVLszLlSHAORcNZenhe&#10;pDz9T+/F67ru278AAAD//wMAUEsDBBQABgAIAAAAIQA0AKSn3gAAAAkBAAAPAAAAZHJzL2Rvd25y&#10;ZXYueG1sTI9BasMwEEX3gdxBTKGb0shO28S4lkMoBEpoF017gLE1sUwsyViK496+k1Wz/Lzh/zfF&#10;ZrKdGGkIrXcK0kUCglztdesaBT/fu8cMRIjoNHbekYJfCrAp57MCc+0v7ovGQ2wEl7iQowITY59L&#10;GWpDFsPC9+SYHf1gMXIcGqkHvHC57eQySVbSYut4wWBPb4bq0+FsFTyYPvn8OL5XO72qzWkfcG3H&#10;vVL3d9P2FUSkKf4fw1Wf1aFkp8qfnQ6i47zOWD0qyJ5AMH/O0iWI6gpeUpBlIW8/KP8AAAD//wMA&#10;UEsBAi0AFAAGAAgAAAAhALaDOJL+AAAA4QEAABMAAAAAAAAAAAAAAAAAAAAAAFtDb250ZW50X1R5&#10;cGVzXS54bWxQSwECLQAUAAYACAAAACEAOP0h/9YAAACUAQAACwAAAAAAAAAAAAAAAAAvAQAAX3Jl&#10;bHMvLnJlbHNQSwECLQAUAAYACAAAACEATTJUBfMBAAA2BAAADgAAAAAAAAAAAAAAAAAuAgAAZHJz&#10;L2Uyb0RvYy54bWxQSwECLQAUAAYACAAAACEANACkp94AAAAJAQAADwAAAAAAAAAAAAAAAABNBAAA&#10;ZHJzL2Rvd25yZXYueG1sUEsFBgAAAAAEAAQA8wAAAFgFAAAAAA==&#10;" filled="f" stroked="f">
                <v:textbox>
                  <w:txbxContent>
                    <w:p w14:paraId="323E9B65" w14:textId="77777777" w:rsidR="001D3795" w:rsidRDefault="001D3795" w:rsidP="001D3795">
                      <w:pPr>
                        <w:spacing w:after="0" w:line="256" w:lineRule="auto"/>
                        <w:jc w:val="center"/>
                        <w:rPr>
                          <w:rFonts w:eastAsia="Times New Roman" w:hAnsi="Aptos"/>
                          <w:color w:val="000000"/>
                          <w:lang w:val="en-US"/>
                        </w:rPr>
                      </w:pPr>
                      <w:r>
                        <w:rPr>
                          <w:rFonts w:eastAsia="Times New Roman" w:hAnsi="Aptos"/>
                          <w:color w:val="000000"/>
                          <w:lang w:val="en-US"/>
                        </w:rPr>
                        <w:t>_______________________</w:t>
                      </w:r>
                    </w:p>
                    <w:p w14:paraId="26DC3F2B" w14:textId="77777777" w:rsidR="001D3795" w:rsidRDefault="001D3795" w:rsidP="001D3795">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REVIS</w:t>
                      </w:r>
                      <w:r>
                        <w:rPr>
                          <w:rFonts w:eastAsia="Times New Roman" w:hAnsi="Aptos"/>
                          <w:color w:val="000000"/>
                          <w:sz w:val="16"/>
                          <w:szCs w:val="16"/>
                          <w:lang w:val="en-US"/>
                        </w:rPr>
                        <w:t>Ó</w:t>
                      </w:r>
                      <w:r>
                        <w:rPr>
                          <w:rFonts w:eastAsia="Times New Roman" w:hAnsi="Aptos"/>
                          <w:color w:val="000000"/>
                          <w:sz w:val="16"/>
                          <w:szCs w:val="16"/>
                          <w:lang w:val="en-US"/>
                        </w:rPr>
                        <w:t xml:space="preserve"> </w:t>
                      </w:r>
                    </w:p>
                    <w:p w14:paraId="6A70276A" w14:textId="77777777" w:rsidR="001D3795" w:rsidRDefault="001D3795" w:rsidP="001D3795">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C.P. Juan Antonio Ornelas Villa</w:t>
                      </w:r>
                    </w:p>
                    <w:p w14:paraId="6BA502B1" w14:textId="77777777" w:rsidR="001D3795" w:rsidRDefault="001D3795" w:rsidP="001D3795">
                      <w:pPr>
                        <w:spacing w:after="0" w:line="256" w:lineRule="auto"/>
                        <w:jc w:val="center"/>
                        <w:rPr>
                          <w:rFonts w:eastAsia="Times New Roman" w:hAnsi="Aptos"/>
                          <w:color w:val="000000"/>
                          <w:sz w:val="16"/>
                          <w:szCs w:val="16"/>
                          <w:lang w:val="es-ES"/>
                        </w:rPr>
                      </w:pPr>
                      <w:r>
                        <w:rPr>
                          <w:rFonts w:eastAsia="Times New Roman" w:hAnsi="Aptos"/>
                          <w:color w:val="000000"/>
                          <w:sz w:val="16"/>
                          <w:szCs w:val="16"/>
                          <w:lang w:val="es-ES"/>
                        </w:rPr>
                        <w:t>Director de Control Presupuestal y Contabilidad Gubernamental SICOM</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034A7662" wp14:editId="48548FA0">
                <wp:simplePos x="0" y="0"/>
                <wp:positionH relativeFrom="column">
                  <wp:posOffset>2887980</wp:posOffset>
                </wp:positionH>
                <wp:positionV relativeFrom="paragraph">
                  <wp:posOffset>45085</wp:posOffset>
                </wp:positionV>
                <wp:extent cx="1737360" cy="1066800"/>
                <wp:effectExtent l="0" t="0" r="0" b="0"/>
                <wp:wrapNone/>
                <wp:docPr id="4" name="Cuadro de texto 8">
                  <a:extLst xmlns:a="http://schemas.openxmlformats.org/drawingml/2006/main">
                    <a:ext uri="{FF2B5EF4-FFF2-40B4-BE49-F238E27FC236}">
                      <a16:creationId xmlns:a16="http://schemas.microsoft.com/office/drawing/2014/main" id="{ED6A78E3-94B0-4D07-AC92-925220EF9A3A}"/>
                    </a:ext>
                  </a:extLst>
                </wp:docPr>
                <wp:cNvGraphicFramePr/>
                <a:graphic xmlns:a="http://schemas.openxmlformats.org/drawingml/2006/main">
                  <a:graphicData uri="http://schemas.microsoft.com/office/word/2010/wordprocessingShape">
                    <wps:wsp>
                      <wps:cNvSpPr txBox="1"/>
                      <wps:spPr>
                        <a:xfrm>
                          <a:off x="0" y="0"/>
                          <a:ext cx="1737360" cy="10668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11C64A0B" w14:textId="77777777" w:rsidR="001D3795" w:rsidRDefault="001D3795" w:rsidP="001D3795">
                            <w:pPr>
                              <w:spacing w:after="0" w:line="256" w:lineRule="auto"/>
                              <w:jc w:val="center"/>
                              <w:rPr>
                                <w:rFonts w:eastAsia="Times New Roman" w:hAnsi="Aptos"/>
                                <w:color w:val="000000"/>
                                <w:lang w:val="en-US"/>
                              </w:rPr>
                            </w:pPr>
                            <w:r>
                              <w:rPr>
                                <w:rFonts w:eastAsia="Times New Roman" w:hAnsi="Aptos"/>
                                <w:color w:val="000000"/>
                                <w:lang w:val="en-US"/>
                              </w:rPr>
                              <w:t>_____________________</w:t>
                            </w:r>
                          </w:p>
                          <w:p w14:paraId="7F13304E" w14:textId="77777777" w:rsidR="001D3795" w:rsidRDefault="001D3795" w:rsidP="001D3795">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REVIS</w:t>
                            </w:r>
                            <w:r>
                              <w:rPr>
                                <w:rFonts w:eastAsia="Times New Roman" w:hAnsi="Aptos"/>
                                <w:color w:val="000000"/>
                                <w:sz w:val="16"/>
                                <w:szCs w:val="16"/>
                                <w:lang w:val="en-US"/>
                              </w:rPr>
                              <w:t>Ó</w:t>
                            </w:r>
                            <w:r>
                              <w:rPr>
                                <w:rFonts w:eastAsia="Times New Roman" w:hAnsi="Aptos"/>
                                <w:color w:val="000000"/>
                                <w:sz w:val="16"/>
                                <w:szCs w:val="16"/>
                                <w:lang w:val="en-US"/>
                              </w:rPr>
                              <w:t xml:space="preserve"> </w:t>
                            </w:r>
                          </w:p>
                          <w:p w14:paraId="1E3115E7" w14:textId="77777777" w:rsidR="001D3795" w:rsidRDefault="001D3795" w:rsidP="001D3795">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C.P. Armando Lopez Bravo</w:t>
                            </w:r>
                          </w:p>
                          <w:p w14:paraId="5C21F23E" w14:textId="77777777" w:rsidR="001D3795" w:rsidRDefault="001D3795" w:rsidP="001D3795">
                            <w:pPr>
                              <w:spacing w:after="0" w:line="256" w:lineRule="auto"/>
                              <w:jc w:val="center"/>
                              <w:rPr>
                                <w:rFonts w:eastAsia="Times New Roman" w:hAnsi="Aptos"/>
                                <w:color w:val="000000"/>
                                <w:sz w:val="16"/>
                                <w:szCs w:val="16"/>
                                <w:lang w:val="es-ES"/>
                              </w:rPr>
                            </w:pPr>
                            <w:r>
                              <w:rPr>
                                <w:rFonts w:eastAsia="Times New Roman" w:hAnsi="Aptos"/>
                                <w:color w:val="000000"/>
                                <w:sz w:val="16"/>
                                <w:szCs w:val="16"/>
                                <w:lang w:val="es-ES"/>
                              </w:rPr>
                              <w:t>Coordinador de Recursos Financieros</w:t>
                            </w:r>
                          </w:p>
                        </w:txbxContent>
                      </wps:txbx>
                      <wps:bodyPr wrap="square" rtlCol="0" anchor="ctr">
                        <a:noAutofit/>
                      </wps:bodyPr>
                    </wps:wsp>
                  </a:graphicData>
                </a:graphic>
              </wp:anchor>
            </w:drawing>
          </mc:Choice>
          <mc:Fallback>
            <w:pict>
              <v:shape w14:anchorId="034A7662" id="Cuadro de texto 8" o:spid="_x0000_s1028" type="#_x0000_t202" style="position:absolute;margin-left:227.4pt;margin-top:3.55pt;width:136.8pt;height:84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Y9o9QEAADYEAAAOAAAAZHJzL2Uyb0RvYy54bWysU8Fu2zAMvQ/YPwi6L3ZSNO2COMXWorsM&#10;27CuH6DIUixMEjVKiZ2/HyUnzrCeOuwiWyLfI/lIru8GZ9lBYTTgGz6f1ZwpL6E1ftfw5x+P7245&#10;i0n4VljwquFHFfnd5u2bdR9WagEd2FYhIxIfV31oeJdSWFVVlJ1yIs4gKE9GDehEoivuqhZFT+zO&#10;Vou6XlY9YBsQpIqRXh9GI98Ufq2VTF+1jiox23DKLZUTy7nNZ7VZi9UOReiMPKUh/iELJ4ynoBPV&#10;g0iC7dG8oHJGIkTQaSbBVaC1karUQNXM67+qeepEUKUWEieGSab4/2jll8NT+IYsDR9hoAZmQfoQ&#10;V5Eecz2DRpe/lCkjO0l4nGRTQ2Iyg26ubq6WZJJkm9fL5W1dhK0u8IAxfVLgWP5pOFJfilzi8Dkm&#10;CkmuZ5cczcOjsbb0xnrWN/z99eKa+F1oGx79rmAnJwJbTxyXvMtfOlqVyaz/rjQzbUk/P0SJu+29&#10;RTbOAQ0q5X6ehkJGgOyoKYlXYk+QjFZl/F6Jn0AlPvg04Z3xgKXwshwqF3AQNNbtz9I1SlyP/mcp&#10;RgGyFmnYDqRAwxfn/m6hPVLbe5p8UvTXXqDiDJO9h3FRhJcdkD4yjTE9fNgn0KY0K1OOBKdQNJyl&#10;h6dFytP/5714XdZ98xsAAP//AwBQSwMEFAAGAAgAAAAhAJkxplDfAAAACQEAAA8AAABkcnMvZG93&#10;bnJldi54bWxMj8FqwzAQRO+F/oPYQC+lkR2cODiWQykESmgPTfsBsrWxTKyVsRTH/ftuT+1xmGHm&#10;TbmfXS8mHEPnSUG6TEAgNd501Cr4+jw8bUGEqMno3hMq+MYA++r+rtSF8Tf6wOkUW8ElFAqtwMY4&#10;FFKGxqLTYekHJPbOfnQ6shxbaUZ943LXy1WSbKTTHfGC1QO+WGwup6tT8GiH5P3t/FofzKaxl2PQ&#10;uZuOSj0s5ucdiIhz/AvDLz6jQ8VMtb+SCaJXkK0zRo8K8hQE+/lqm4GoOZivU5BVKf8/qH4AAAD/&#10;/wMAUEsBAi0AFAAGAAgAAAAhALaDOJL+AAAA4QEAABMAAAAAAAAAAAAAAAAAAAAAAFtDb250ZW50&#10;X1R5cGVzXS54bWxQSwECLQAUAAYACAAAACEAOP0h/9YAAACUAQAACwAAAAAAAAAAAAAAAAAvAQAA&#10;X3JlbHMvLnJlbHNQSwECLQAUAAYACAAAACEAbK2PaPUBAAA2BAAADgAAAAAAAAAAAAAAAAAuAgAA&#10;ZHJzL2Uyb0RvYy54bWxQSwECLQAUAAYACAAAACEAmTGmUN8AAAAJAQAADwAAAAAAAAAAAAAAAABP&#10;BAAAZHJzL2Rvd25yZXYueG1sUEsFBgAAAAAEAAQA8wAAAFsFAAAAAA==&#10;" filled="f" stroked="f">
                <v:textbox>
                  <w:txbxContent>
                    <w:p w14:paraId="11C64A0B" w14:textId="77777777" w:rsidR="001D3795" w:rsidRDefault="001D3795" w:rsidP="001D3795">
                      <w:pPr>
                        <w:spacing w:after="0" w:line="256" w:lineRule="auto"/>
                        <w:jc w:val="center"/>
                        <w:rPr>
                          <w:rFonts w:eastAsia="Times New Roman" w:hAnsi="Aptos"/>
                          <w:color w:val="000000"/>
                          <w:lang w:val="en-US"/>
                        </w:rPr>
                      </w:pPr>
                      <w:r>
                        <w:rPr>
                          <w:rFonts w:eastAsia="Times New Roman" w:hAnsi="Aptos"/>
                          <w:color w:val="000000"/>
                          <w:lang w:val="en-US"/>
                        </w:rPr>
                        <w:t>_____________________</w:t>
                      </w:r>
                    </w:p>
                    <w:p w14:paraId="7F13304E" w14:textId="77777777" w:rsidR="001D3795" w:rsidRDefault="001D3795" w:rsidP="001D3795">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REVIS</w:t>
                      </w:r>
                      <w:r>
                        <w:rPr>
                          <w:rFonts w:eastAsia="Times New Roman" w:hAnsi="Aptos"/>
                          <w:color w:val="000000"/>
                          <w:sz w:val="16"/>
                          <w:szCs w:val="16"/>
                          <w:lang w:val="en-US"/>
                        </w:rPr>
                        <w:t>Ó</w:t>
                      </w:r>
                      <w:r>
                        <w:rPr>
                          <w:rFonts w:eastAsia="Times New Roman" w:hAnsi="Aptos"/>
                          <w:color w:val="000000"/>
                          <w:sz w:val="16"/>
                          <w:szCs w:val="16"/>
                          <w:lang w:val="en-US"/>
                        </w:rPr>
                        <w:t xml:space="preserve"> </w:t>
                      </w:r>
                    </w:p>
                    <w:p w14:paraId="1E3115E7" w14:textId="77777777" w:rsidR="001D3795" w:rsidRDefault="001D3795" w:rsidP="001D3795">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C.P. Armando Lopez Bravo</w:t>
                      </w:r>
                    </w:p>
                    <w:p w14:paraId="5C21F23E" w14:textId="77777777" w:rsidR="001D3795" w:rsidRDefault="001D3795" w:rsidP="001D3795">
                      <w:pPr>
                        <w:spacing w:after="0" w:line="256" w:lineRule="auto"/>
                        <w:jc w:val="center"/>
                        <w:rPr>
                          <w:rFonts w:eastAsia="Times New Roman" w:hAnsi="Aptos"/>
                          <w:color w:val="000000"/>
                          <w:sz w:val="16"/>
                          <w:szCs w:val="16"/>
                          <w:lang w:val="es-ES"/>
                        </w:rPr>
                      </w:pPr>
                      <w:r>
                        <w:rPr>
                          <w:rFonts w:eastAsia="Times New Roman" w:hAnsi="Aptos"/>
                          <w:color w:val="000000"/>
                          <w:sz w:val="16"/>
                          <w:szCs w:val="16"/>
                          <w:lang w:val="es-ES"/>
                        </w:rPr>
                        <w:t>Coordinador de Recursos Financieros</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0FC0257A" wp14:editId="7475052D">
                <wp:simplePos x="0" y="0"/>
                <wp:positionH relativeFrom="column">
                  <wp:posOffset>4638675</wp:posOffset>
                </wp:positionH>
                <wp:positionV relativeFrom="paragraph">
                  <wp:posOffset>98425</wp:posOffset>
                </wp:positionV>
                <wp:extent cx="1695450" cy="800100"/>
                <wp:effectExtent l="0" t="0" r="0" b="0"/>
                <wp:wrapNone/>
                <wp:docPr id="6" name="Cuadro de texto 1">
                  <a:extLst xmlns:a="http://schemas.openxmlformats.org/drawingml/2006/main">
                    <a:ext uri="{FF2B5EF4-FFF2-40B4-BE49-F238E27FC236}">
                      <a16:creationId xmlns:a16="http://schemas.microsoft.com/office/drawing/2014/main" id="{7657904F-3665-4204-953C-4186512AF827}"/>
                    </a:ext>
                  </a:extLst>
                </wp:docPr>
                <wp:cNvGraphicFramePr/>
                <a:graphic xmlns:a="http://schemas.openxmlformats.org/drawingml/2006/main">
                  <a:graphicData uri="http://schemas.microsoft.com/office/word/2010/wordprocessingShape">
                    <wps:wsp>
                      <wps:cNvSpPr txBox="1"/>
                      <wps:spPr>
                        <a:xfrm>
                          <a:off x="0" y="0"/>
                          <a:ext cx="1695450" cy="8001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2BE6E0EC" w14:textId="77777777" w:rsidR="001D3795" w:rsidRDefault="001D3795" w:rsidP="001D3795">
                            <w:pPr>
                              <w:spacing w:after="0" w:line="256" w:lineRule="auto"/>
                              <w:jc w:val="center"/>
                              <w:rPr>
                                <w:rFonts w:eastAsia="Times New Roman" w:hAnsi="Aptos"/>
                                <w:color w:val="000000"/>
                                <w:sz w:val="20"/>
                                <w:szCs w:val="20"/>
                                <w:lang w:val="en-US"/>
                              </w:rPr>
                            </w:pPr>
                            <w:r>
                              <w:rPr>
                                <w:rFonts w:eastAsia="Times New Roman" w:hAnsi="Aptos"/>
                                <w:color w:val="000000"/>
                                <w:sz w:val="20"/>
                                <w:szCs w:val="20"/>
                                <w:lang w:val="en-US"/>
                              </w:rPr>
                              <w:t>______________________</w:t>
                            </w:r>
                          </w:p>
                          <w:p w14:paraId="534F8238" w14:textId="77777777" w:rsidR="001D3795" w:rsidRDefault="001D3795" w:rsidP="001D3795">
                            <w:pPr>
                              <w:spacing w:after="0" w:line="256" w:lineRule="auto"/>
                              <w:jc w:val="center"/>
                              <w:rPr>
                                <w:rFonts w:eastAsia="Times New Roman" w:hAnsi="Aptos"/>
                                <w:color w:val="000000"/>
                                <w:sz w:val="14"/>
                                <w:szCs w:val="14"/>
                                <w:lang w:val="en-US"/>
                              </w:rPr>
                            </w:pPr>
                            <w:r>
                              <w:rPr>
                                <w:rFonts w:eastAsia="Times New Roman" w:hAnsi="Aptos"/>
                                <w:color w:val="000000"/>
                                <w:sz w:val="14"/>
                                <w:szCs w:val="14"/>
                                <w:lang w:val="en-US"/>
                              </w:rPr>
                              <w:t>ELABOR</w:t>
                            </w:r>
                            <w:r>
                              <w:rPr>
                                <w:rFonts w:eastAsia="Times New Roman" w:hAnsi="Aptos"/>
                                <w:color w:val="000000"/>
                                <w:sz w:val="14"/>
                                <w:szCs w:val="14"/>
                                <w:lang w:val="en-US"/>
                              </w:rPr>
                              <w:t>Ó</w:t>
                            </w:r>
                          </w:p>
                          <w:p w14:paraId="2C4378EF" w14:textId="77777777" w:rsidR="001D3795" w:rsidRDefault="001D3795" w:rsidP="001D3795">
                            <w:pPr>
                              <w:spacing w:after="0" w:line="256" w:lineRule="auto"/>
                              <w:jc w:val="center"/>
                              <w:rPr>
                                <w:rFonts w:eastAsia="Times New Roman" w:hAnsi="Aptos"/>
                                <w:color w:val="000000"/>
                                <w:sz w:val="14"/>
                                <w:szCs w:val="14"/>
                                <w:lang w:val="en-US"/>
                              </w:rPr>
                            </w:pPr>
                            <w:r>
                              <w:rPr>
                                <w:rFonts w:eastAsia="Times New Roman" w:hAnsi="Aptos"/>
                                <w:color w:val="000000"/>
                                <w:sz w:val="14"/>
                                <w:szCs w:val="14"/>
                                <w:lang w:val="en-US"/>
                              </w:rPr>
                              <w:t>I.G.E. Edilberto Hern</w:t>
                            </w:r>
                            <w:r>
                              <w:rPr>
                                <w:rFonts w:eastAsia="Times New Roman" w:hAnsi="Aptos"/>
                                <w:color w:val="000000"/>
                                <w:sz w:val="14"/>
                                <w:szCs w:val="14"/>
                                <w:lang w:val="en-US"/>
                              </w:rPr>
                              <w:t>á</w:t>
                            </w:r>
                            <w:r>
                              <w:rPr>
                                <w:rFonts w:eastAsia="Times New Roman" w:hAnsi="Aptos"/>
                                <w:color w:val="000000"/>
                                <w:sz w:val="14"/>
                                <w:szCs w:val="14"/>
                                <w:lang w:val="en-US"/>
                              </w:rPr>
                              <w:t xml:space="preserve">ndez </w:t>
                            </w:r>
                            <w:proofErr w:type="spellStart"/>
                            <w:r>
                              <w:rPr>
                                <w:rFonts w:eastAsia="Times New Roman" w:hAnsi="Aptos"/>
                                <w:color w:val="000000"/>
                                <w:sz w:val="14"/>
                                <w:szCs w:val="14"/>
                                <w:lang w:val="en-US"/>
                              </w:rPr>
                              <w:t>Hern</w:t>
                            </w:r>
                            <w:r>
                              <w:rPr>
                                <w:rFonts w:eastAsia="Times New Roman" w:hAnsi="Aptos"/>
                                <w:color w:val="000000"/>
                                <w:sz w:val="14"/>
                                <w:szCs w:val="14"/>
                                <w:lang w:val="en-US"/>
                              </w:rPr>
                              <w:t>á</w:t>
                            </w:r>
                            <w:r>
                              <w:rPr>
                                <w:rFonts w:eastAsia="Times New Roman" w:hAnsi="Aptos"/>
                                <w:color w:val="000000"/>
                                <w:sz w:val="14"/>
                                <w:szCs w:val="14"/>
                                <w:lang w:val="en-US"/>
                              </w:rPr>
                              <w:t>ndez</w:t>
                            </w:r>
                            <w:proofErr w:type="spellEnd"/>
                            <w:r>
                              <w:rPr>
                                <w:rFonts w:eastAsia="Times New Roman" w:hAnsi="Aptos"/>
                                <w:color w:val="000000"/>
                                <w:sz w:val="14"/>
                                <w:szCs w:val="14"/>
                                <w:lang w:val="en-US"/>
                              </w:rPr>
                              <w:t xml:space="preserve"> </w:t>
                            </w:r>
                          </w:p>
                          <w:p w14:paraId="33833374" w14:textId="77777777" w:rsidR="001D3795" w:rsidRDefault="001D3795" w:rsidP="001D3795">
                            <w:pPr>
                              <w:spacing w:after="0" w:line="256" w:lineRule="auto"/>
                              <w:jc w:val="center"/>
                              <w:rPr>
                                <w:rFonts w:eastAsia="Times New Roman" w:hAnsi="Aptos"/>
                                <w:color w:val="000000"/>
                                <w:sz w:val="14"/>
                                <w:szCs w:val="14"/>
                              </w:rPr>
                            </w:pPr>
                            <w:r>
                              <w:rPr>
                                <w:rFonts w:eastAsia="Times New Roman" w:hAnsi="Aptos"/>
                                <w:color w:val="000000"/>
                                <w:sz w:val="14"/>
                                <w:szCs w:val="14"/>
                              </w:rPr>
                              <w:t>Operador de Recursos Financieros</w:t>
                            </w:r>
                          </w:p>
                        </w:txbxContent>
                      </wps:txbx>
                      <wps:bodyPr wrap="square" rtlCol="0" anchor="ctr">
                        <a:noAutofit/>
                      </wps:bodyPr>
                    </wps:wsp>
                  </a:graphicData>
                </a:graphic>
              </wp:anchor>
            </w:drawing>
          </mc:Choice>
          <mc:Fallback>
            <w:pict>
              <v:shape w14:anchorId="0FC0257A" id="Cuadro de texto 1" o:spid="_x0000_s1029" type="#_x0000_t202" style="position:absolute;margin-left:365.25pt;margin-top:7.75pt;width:133.5pt;height:63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r3P9AEAADUEAAAOAAAAZHJzL2Uyb0RvYy54bWysU8Fu2zAMvQ/YPwi6L06zpWiNOMXWorsM&#10;29BuH6DIlC1MEjVJiZ2/HyUnzrCdOuwiWyLfI/lIbu5Ga9gBQtToGn61WHIGTmKrXdfw798e39xw&#10;FpNwrTDooOFHiPxu+/rVZvA1rLBH00JgROJiPfiG9yn5uqqi7MGKuEAPjowKgxWJrqGr2iAGYrem&#10;Wi2X19WAofUBJcRIrw+TkW8Lv1Ig0xelIiRmGk65pXKGcu7yWW03ou6C8L2WpzTEP2RhhXYUdKZ6&#10;EEmwfdB/UVktA0ZUaSHRVqiUllBqoGquln9U89wLD6UWEif6Wab4/2jl58Oz/xpYGj/gSA3Mggw+&#10;1pEecz2jCjZ/KVNGdpLwOMsGY2Iyg65v1+/WZJJku1lSHUXX6oL2IaaPgJbln4YHaktRSxw+xUQR&#10;yfXskoM5fNTGlNYYx4aG365Xa6K3vm14dF3Bzk4ENo44LmmXv3Q0kMmMewLFdFuyzw9Rhm53bwKb&#10;xoDmlFI/D0MhI0B2VJTEC7EnSEZDmb4X4mdQiY8uzXirHYZSeNkNyAUcBE11+6M0jRJXk/9ZikmA&#10;rEUadyMp0PC35/busD1S1wcafFL0514E4Cwkc4/TnggneyR9ZJpiOny/T6h0aVamnAhOoWg2Sw9P&#10;e5SH//d78bps+/YXAAAA//8DAFBLAwQUAAYACAAAACEAYDOFhd8AAAAKAQAADwAAAGRycy9kb3du&#10;cmV2LnhtbEyPTU7DMBCF90jcwRokNojaBdLQEKdCSJVQBQsKB5jEbhw1Hkexm4bbM6xgNT/v6c03&#10;5Wb2vZjsGLtAGpYLBcJSE0xHrYavz+3tI4iYkAz2gayGbxthU11elFiYcKYPO+1TKziEYoEaXEpD&#10;IWVsnPUYF2GwxNohjB4Tj2MrzYhnDve9vFNqJT12xBccDvbF2ea4P3kNN25Q72+H13prVo077iLm&#10;ftppfX01Pz+BSHZOf2b4xWd0qJipDicyUfQa8nuVsZWFjCsb1uucm5oXD8sMZFXK/y9UPwAAAP//&#10;AwBQSwECLQAUAAYACAAAACEAtoM4kv4AAADhAQAAEwAAAAAAAAAAAAAAAAAAAAAAW0NvbnRlbnRf&#10;VHlwZXNdLnhtbFBLAQItABQABgAIAAAAIQA4/SH/1gAAAJQBAAALAAAAAAAAAAAAAAAAAC8BAABf&#10;cmVscy8ucmVsc1BLAQItABQABgAIAAAAIQB0Zr3P9AEAADUEAAAOAAAAAAAAAAAAAAAAAC4CAABk&#10;cnMvZTJvRG9jLnhtbFBLAQItABQABgAIAAAAIQBgM4WF3wAAAAoBAAAPAAAAAAAAAAAAAAAAAE4E&#10;AABkcnMvZG93bnJldi54bWxQSwUGAAAAAAQABADzAAAAWgUAAAAA&#10;" filled="f" stroked="f">
                <v:textbox>
                  <w:txbxContent>
                    <w:p w14:paraId="2BE6E0EC" w14:textId="77777777" w:rsidR="001D3795" w:rsidRDefault="001D3795" w:rsidP="001D3795">
                      <w:pPr>
                        <w:spacing w:after="0" w:line="256" w:lineRule="auto"/>
                        <w:jc w:val="center"/>
                        <w:rPr>
                          <w:rFonts w:eastAsia="Times New Roman" w:hAnsi="Aptos"/>
                          <w:color w:val="000000"/>
                          <w:sz w:val="20"/>
                          <w:szCs w:val="20"/>
                          <w:lang w:val="en-US"/>
                        </w:rPr>
                      </w:pPr>
                      <w:r>
                        <w:rPr>
                          <w:rFonts w:eastAsia="Times New Roman" w:hAnsi="Aptos"/>
                          <w:color w:val="000000"/>
                          <w:sz w:val="20"/>
                          <w:szCs w:val="20"/>
                          <w:lang w:val="en-US"/>
                        </w:rPr>
                        <w:t>______________________</w:t>
                      </w:r>
                    </w:p>
                    <w:p w14:paraId="534F8238" w14:textId="77777777" w:rsidR="001D3795" w:rsidRDefault="001D3795" w:rsidP="001D3795">
                      <w:pPr>
                        <w:spacing w:after="0" w:line="256" w:lineRule="auto"/>
                        <w:jc w:val="center"/>
                        <w:rPr>
                          <w:rFonts w:eastAsia="Times New Roman" w:hAnsi="Aptos"/>
                          <w:color w:val="000000"/>
                          <w:sz w:val="14"/>
                          <w:szCs w:val="14"/>
                          <w:lang w:val="en-US"/>
                        </w:rPr>
                      </w:pPr>
                      <w:r>
                        <w:rPr>
                          <w:rFonts w:eastAsia="Times New Roman" w:hAnsi="Aptos"/>
                          <w:color w:val="000000"/>
                          <w:sz w:val="14"/>
                          <w:szCs w:val="14"/>
                          <w:lang w:val="en-US"/>
                        </w:rPr>
                        <w:t>ELABOR</w:t>
                      </w:r>
                      <w:r>
                        <w:rPr>
                          <w:rFonts w:eastAsia="Times New Roman" w:hAnsi="Aptos"/>
                          <w:color w:val="000000"/>
                          <w:sz w:val="14"/>
                          <w:szCs w:val="14"/>
                          <w:lang w:val="en-US"/>
                        </w:rPr>
                        <w:t>Ó</w:t>
                      </w:r>
                    </w:p>
                    <w:p w14:paraId="2C4378EF" w14:textId="77777777" w:rsidR="001D3795" w:rsidRDefault="001D3795" w:rsidP="001D3795">
                      <w:pPr>
                        <w:spacing w:after="0" w:line="256" w:lineRule="auto"/>
                        <w:jc w:val="center"/>
                        <w:rPr>
                          <w:rFonts w:eastAsia="Times New Roman" w:hAnsi="Aptos"/>
                          <w:color w:val="000000"/>
                          <w:sz w:val="14"/>
                          <w:szCs w:val="14"/>
                          <w:lang w:val="en-US"/>
                        </w:rPr>
                      </w:pPr>
                      <w:r>
                        <w:rPr>
                          <w:rFonts w:eastAsia="Times New Roman" w:hAnsi="Aptos"/>
                          <w:color w:val="000000"/>
                          <w:sz w:val="14"/>
                          <w:szCs w:val="14"/>
                          <w:lang w:val="en-US"/>
                        </w:rPr>
                        <w:t>I.G.E. Edilberto Hern</w:t>
                      </w:r>
                      <w:r>
                        <w:rPr>
                          <w:rFonts w:eastAsia="Times New Roman" w:hAnsi="Aptos"/>
                          <w:color w:val="000000"/>
                          <w:sz w:val="14"/>
                          <w:szCs w:val="14"/>
                          <w:lang w:val="en-US"/>
                        </w:rPr>
                        <w:t>á</w:t>
                      </w:r>
                      <w:r>
                        <w:rPr>
                          <w:rFonts w:eastAsia="Times New Roman" w:hAnsi="Aptos"/>
                          <w:color w:val="000000"/>
                          <w:sz w:val="14"/>
                          <w:szCs w:val="14"/>
                          <w:lang w:val="en-US"/>
                        </w:rPr>
                        <w:t xml:space="preserve">ndez </w:t>
                      </w:r>
                      <w:proofErr w:type="spellStart"/>
                      <w:r>
                        <w:rPr>
                          <w:rFonts w:eastAsia="Times New Roman" w:hAnsi="Aptos"/>
                          <w:color w:val="000000"/>
                          <w:sz w:val="14"/>
                          <w:szCs w:val="14"/>
                          <w:lang w:val="en-US"/>
                        </w:rPr>
                        <w:t>Hern</w:t>
                      </w:r>
                      <w:r>
                        <w:rPr>
                          <w:rFonts w:eastAsia="Times New Roman" w:hAnsi="Aptos"/>
                          <w:color w:val="000000"/>
                          <w:sz w:val="14"/>
                          <w:szCs w:val="14"/>
                          <w:lang w:val="en-US"/>
                        </w:rPr>
                        <w:t>á</w:t>
                      </w:r>
                      <w:r>
                        <w:rPr>
                          <w:rFonts w:eastAsia="Times New Roman" w:hAnsi="Aptos"/>
                          <w:color w:val="000000"/>
                          <w:sz w:val="14"/>
                          <w:szCs w:val="14"/>
                          <w:lang w:val="en-US"/>
                        </w:rPr>
                        <w:t>ndez</w:t>
                      </w:r>
                      <w:proofErr w:type="spellEnd"/>
                      <w:r>
                        <w:rPr>
                          <w:rFonts w:eastAsia="Times New Roman" w:hAnsi="Aptos"/>
                          <w:color w:val="000000"/>
                          <w:sz w:val="14"/>
                          <w:szCs w:val="14"/>
                          <w:lang w:val="en-US"/>
                        </w:rPr>
                        <w:t xml:space="preserve"> </w:t>
                      </w:r>
                    </w:p>
                    <w:p w14:paraId="33833374" w14:textId="77777777" w:rsidR="001D3795" w:rsidRDefault="001D3795" w:rsidP="001D3795">
                      <w:pPr>
                        <w:spacing w:after="0" w:line="256" w:lineRule="auto"/>
                        <w:jc w:val="center"/>
                        <w:rPr>
                          <w:rFonts w:eastAsia="Times New Roman" w:hAnsi="Aptos"/>
                          <w:color w:val="000000"/>
                          <w:sz w:val="14"/>
                          <w:szCs w:val="14"/>
                        </w:rPr>
                      </w:pPr>
                      <w:r>
                        <w:rPr>
                          <w:rFonts w:eastAsia="Times New Roman" w:hAnsi="Aptos"/>
                          <w:color w:val="000000"/>
                          <w:sz w:val="14"/>
                          <w:szCs w:val="14"/>
                        </w:rPr>
                        <w:t>Operador de Recursos Financieros</w:t>
                      </w:r>
                    </w:p>
                  </w:txbxContent>
                </v:textbox>
              </v:shape>
            </w:pict>
          </mc:Fallback>
        </mc:AlternateContent>
      </w:r>
    </w:p>
    <w:sectPr w:rsidR="001D3795" w:rsidRPr="001D3795" w:rsidSect="00962918">
      <w:headerReference w:type="default" r:id="rId13"/>
      <w:footerReference w:type="default" r:id="rId14"/>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1D1F68" w14:textId="77777777" w:rsidR="00962918" w:rsidRDefault="00962918" w:rsidP="00E00323">
      <w:pPr>
        <w:spacing w:after="0" w:line="240" w:lineRule="auto"/>
      </w:pPr>
      <w:r>
        <w:separator/>
      </w:r>
    </w:p>
  </w:endnote>
  <w:endnote w:type="continuationSeparator" w:id="0">
    <w:p w14:paraId="5B0527E4" w14:textId="77777777" w:rsidR="00962918" w:rsidRDefault="00962918"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64267310"/>
      <w:docPartObj>
        <w:docPartGallery w:val="Page Numbers (Bottom of Page)"/>
        <w:docPartUnique/>
      </w:docPartObj>
    </w:sdtPr>
    <w:sdtContent>
      <w:p w14:paraId="45A1378E" w14:textId="3208FEF5" w:rsidR="0012405A" w:rsidRDefault="0012405A">
        <w:pPr>
          <w:pStyle w:val="Piedepgina"/>
          <w:jc w:val="right"/>
        </w:pPr>
        <w:r>
          <w:fldChar w:fldCharType="begin"/>
        </w:r>
        <w:r>
          <w:instrText>PAGE   \* MERGEFORMAT</w:instrText>
        </w:r>
        <w:r>
          <w:fldChar w:fldCharType="separate"/>
        </w:r>
        <w:r w:rsidR="00A730E0" w:rsidRPr="00A730E0">
          <w:rPr>
            <w:noProof/>
            <w:lang w:val="es-ES"/>
          </w:rPr>
          <w:t>1</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1B7C04" w14:textId="77777777" w:rsidR="00962918" w:rsidRDefault="00962918" w:rsidP="00E00323">
      <w:pPr>
        <w:spacing w:after="0" w:line="240" w:lineRule="auto"/>
      </w:pPr>
      <w:r>
        <w:separator/>
      </w:r>
    </w:p>
  </w:footnote>
  <w:footnote w:type="continuationSeparator" w:id="0">
    <w:p w14:paraId="357B50F5" w14:textId="77777777" w:rsidR="00962918" w:rsidRDefault="00962918"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C548F" w14:textId="0B9055DE" w:rsidR="00154BA3" w:rsidRDefault="00065CDB" w:rsidP="00A4610E">
    <w:pPr>
      <w:pStyle w:val="Encabezado"/>
      <w:spacing w:after="0" w:line="240" w:lineRule="auto"/>
      <w:jc w:val="center"/>
    </w:pPr>
    <w:r>
      <w:t>INSTITUTO DE INFRAESTRUCTURA FISICA EDUCATIVA DE GUANAJUATO</w:t>
    </w:r>
  </w:p>
  <w:p w14:paraId="651A4C4F" w14:textId="05979D1F" w:rsidR="00A4610E" w:rsidRDefault="00A4610E" w:rsidP="00A4610E">
    <w:pPr>
      <w:pStyle w:val="Encabezado"/>
      <w:spacing w:after="0" w:line="240" w:lineRule="auto"/>
      <w:jc w:val="center"/>
    </w:pPr>
    <w:r w:rsidRPr="00A4610E">
      <w:t>CORRESPONDI</w:t>
    </w:r>
    <w:r w:rsidR="00DD018C">
      <w:t>E</w:t>
    </w:r>
    <w:r w:rsidRPr="00A4610E">
      <w:t xml:space="preserve">NTES AL </w:t>
    </w:r>
    <w:r w:rsidR="00065CDB">
      <w:t>31 DE MARZO DE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061130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310EF"/>
    <w:rsid w:val="00040D4F"/>
    <w:rsid w:val="00065CDB"/>
    <w:rsid w:val="00084EAE"/>
    <w:rsid w:val="00091CE6"/>
    <w:rsid w:val="000B7810"/>
    <w:rsid w:val="000C3365"/>
    <w:rsid w:val="000F75FD"/>
    <w:rsid w:val="00106EE9"/>
    <w:rsid w:val="0012405A"/>
    <w:rsid w:val="0012493A"/>
    <w:rsid w:val="00154BA3"/>
    <w:rsid w:val="001973A2"/>
    <w:rsid w:val="001C34BC"/>
    <w:rsid w:val="001C710C"/>
    <w:rsid w:val="001C75F2"/>
    <w:rsid w:val="001D2063"/>
    <w:rsid w:val="001D3795"/>
    <w:rsid w:val="001D43E9"/>
    <w:rsid w:val="00231FBE"/>
    <w:rsid w:val="00232175"/>
    <w:rsid w:val="0024740E"/>
    <w:rsid w:val="002722DD"/>
    <w:rsid w:val="00295B72"/>
    <w:rsid w:val="003453CA"/>
    <w:rsid w:val="00396D53"/>
    <w:rsid w:val="003E6C64"/>
    <w:rsid w:val="0043078C"/>
    <w:rsid w:val="00435A87"/>
    <w:rsid w:val="004A1077"/>
    <w:rsid w:val="004A58C8"/>
    <w:rsid w:val="004F234D"/>
    <w:rsid w:val="004F6FAC"/>
    <w:rsid w:val="005053EE"/>
    <w:rsid w:val="00516100"/>
    <w:rsid w:val="00516A8F"/>
    <w:rsid w:val="00540261"/>
    <w:rsid w:val="0054701E"/>
    <w:rsid w:val="005B5531"/>
    <w:rsid w:val="005D3E43"/>
    <w:rsid w:val="005E231E"/>
    <w:rsid w:val="005F2900"/>
    <w:rsid w:val="005F3AF8"/>
    <w:rsid w:val="005F51CC"/>
    <w:rsid w:val="0064059E"/>
    <w:rsid w:val="00657009"/>
    <w:rsid w:val="00681C79"/>
    <w:rsid w:val="006B1ADF"/>
    <w:rsid w:val="006F0687"/>
    <w:rsid w:val="006F77A8"/>
    <w:rsid w:val="007610BC"/>
    <w:rsid w:val="007714AB"/>
    <w:rsid w:val="00771648"/>
    <w:rsid w:val="00780F9F"/>
    <w:rsid w:val="007D1E76"/>
    <w:rsid w:val="007D4484"/>
    <w:rsid w:val="007E38A2"/>
    <w:rsid w:val="007F699D"/>
    <w:rsid w:val="00806269"/>
    <w:rsid w:val="0086420E"/>
    <w:rsid w:val="0086459F"/>
    <w:rsid w:val="008C3BB8"/>
    <w:rsid w:val="008E076C"/>
    <w:rsid w:val="0092765C"/>
    <w:rsid w:val="00945FD2"/>
    <w:rsid w:val="00962918"/>
    <w:rsid w:val="00967DDA"/>
    <w:rsid w:val="009736CB"/>
    <w:rsid w:val="00A4610E"/>
    <w:rsid w:val="00A6346D"/>
    <w:rsid w:val="00A730E0"/>
    <w:rsid w:val="00AA2768"/>
    <w:rsid w:val="00AA41E5"/>
    <w:rsid w:val="00AB722B"/>
    <w:rsid w:val="00AE1F6A"/>
    <w:rsid w:val="00AF4375"/>
    <w:rsid w:val="00B073DE"/>
    <w:rsid w:val="00B4354D"/>
    <w:rsid w:val="00B6368B"/>
    <w:rsid w:val="00B87EAF"/>
    <w:rsid w:val="00BA53FE"/>
    <w:rsid w:val="00BE02EB"/>
    <w:rsid w:val="00C4250B"/>
    <w:rsid w:val="00C4625D"/>
    <w:rsid w:val="00C54C12"/>
    <w:rsid w:val="00C86CBA"/>
    <w:rsid w:val="00C93C67"/>
    <w:rsid w:val="00C97E1E"/>
    <w:rsid w:val="00CB41C4"/>
    <w:rsid w:val="00CF1316"/>
    <w:rsid w:val="00D13C44"/>
    <w:rsid w:val="00D32331"/>
    <w:rsid w:val="00D40FC2"/>
    <w:rsid w:val="00D5018E"/>
    <w:rsid w:val="00D546B2"/>
    <w:rsid w:val="00D975B1"/>
    <w:rsid w:val="00DD018C"/>
    <w:rsid w:val="00E00323"/>
    <w:rsid w:val="00E11758"/>
    <w:rsid w:val="00E74967"/>
    <w:rsid w:val="00E7559F"/>
    <w:rsid w:val="00E85520"/>
    <w:rsid w:val="00E9132F"/>
    <w:rsid w:val="00E94C37"/>
    <w:rsid w:val="00EA37F5"/>
    <w:rsid w:val="00EA7915"/>
    <w:rsid w:val="00ED7AA0"/>
    <w:rsid w:val="00F067C8"/>
    <w:rsid w:val="00F43AC5"/>
    <w:rsid w:val="00F46719"/>
    <w:rsid w:val="00F54F6F"/>
    <w:rsid w:val="00F6102D"/>
    <w:rsid w:val="00F65A92"/>
    <w:rsid w:val="00F6759B"/>
    <w:rsid w:val="00FB26C7"/>
    <w:rsid w:val="00FC1A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7100730">
      <w:bodyDiv w:val="1"/>
      <w:marLeft w:val="0"/>
      <w:marRight w:val="0"/>
      <w:marTop w:val="0"/>
      <w:marBottom w:val="0"/>
      <w:divBdr>
        <w:top w:val="none" w:sz="0" w:space="0" w:color="auto"/>
        <w:left w:val="none" w:sz="0" w:space="0" w:color="auto"/>
        <w:bottom w:val="none" w:sz="0" w:space="0" w:color="auto"/>
        <w:right w:val="none" w:sz="0" w:space="0" w:color="auto"/>
      </w:divBdr>
    </w:div>
    <w:div w:id="1697121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x00bf_Formatomodificado_x003f_ xmlns="0c865bf4-0f22-4e4d-b041-7b0c1657e5a8">true</_x00bf_Formatomodificado_x003f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11" ma:contentTypeDescription="Crear nuevo documento." ma:contentTypeScope="" ma:versionID="bf3a443534d628b30ad7b72686e46350">
  <xsd:schema xmlns:xsd="http://www.w3.org/2001/XMLSchema" xmlns:xs="http://www.w3.org/2001/XMLSchema" xmlns:p="http://schemas.microsoft.com/office/2006/metadata/properties" xmlns:ns2="0c865bf4-0f22-4e4d-b041-7b0c1657e5a8" xmlns:ns3="6aa8a68a-ab09-4ac8-a697-fdce915bc567" targetNamespace="http://schemas.microsoft.com/office/2006/metadata/properties" ma:root="true" ma:fieldsID="cb5505446f330f50c51622ed5cc53a4b" ns2:_="" ns3:_="">
    <xsd:import namespace="0c865bf4-0f22-4e4d-b041-7b0c1657e5a8"/>
    <xsd:import namespace="6aa8a68a-ab09-4ac8-a697-fdce915bc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_x00bf_Formatomodificado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x00bf_Formatomodificado_x003f_" ma:index="18" nillable="true" ma:displayName="¿Formato modificado?" ma:default="1" ma:format="Dropdown" ma:internalName="_x00bf_Formatomodificado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a8a68a-ab09-4ac8-a697-fdce915bc56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D9A76F-91F0-43D2-8081-B4DC470C2F6F}">
  <ds:schemaRefs>
    <ds:schemaRef ds:uri="http://schemas.openxmlformats.org/officeDocument/2006/bibliography"/>
  </ds:schemaRefs>
</ds:datastoreItem>
</file>

<file path=customXml/itemProps2.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 ds:uri="0c865bf4-0f22-4e4d-b041-7b0c1657e5a8"/>
  </ds:schemaRefs>
</ds:datastoreItem>
</file>

<file path=customXml/itemProps3.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4.xml><?xml version="1.0" encoding="utf-8"?>
<ds:datastoreItem xmlns:ds="http://schemas.openxmlformats.org/officeDocument/2006/customXml" ds:itemID="{555B9485-7FE9-43F0-809A-30EC26A19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6aa8a68a-ab09-4ac8-a697-fdce915bc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13</Pages>
  <Words>4252</Words>
  <Characters>23386</Characters>
  <Application>Microsoft Office Word</Application>
  <DocSecurity>0</DocSecurity>
  <Lines>194</Lines>
  <Paragraphs>55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27583</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Edilberto Hernandez Hernandez</cp:lastModifiedBy>
  <cp:revision>73</cp:revision>
  <dcterms:created xsi:type="dcterms:W3CDTF">2017-01-12T05:27:00Z</dcterms:created>
  <dcterms:modified xsi:type="dcterms:W3CDTF">2024-04-25T16:07:00Z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